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B9AFB" w14:textId="77777777" w:rsidR="00D53E9C" w:rsidRPr="000016AF" w:rsidRDefault="00D53E9C" w:rsidP="005E2D89">
      <w:pPr>
        <w:jc w:val="center"/>
        <w:rPr>
          <w:rFonts w:cs="Arial"/>
          <w:b/>
          <w:sz w:val="28"/>
          <w:lang w:val="es-ES"/>
        </w:rPr>
      </w:pPr>
    </w:p>
    <w:p w14:paraId="14E845CA" w14:textId="77777777" w:rsidR="00D53E9C" w:rsidRPr="000016AF" w:rsidRDefault="00D53E9C" w:rsidP="005E2D89">
      <w:pPr>
        <w:jc w:val="center"/>
        <w:rPr>
          <w:rFonts w:cs="Arial"/>
          <w:b/>
          <w:sz w:val="28"/>
          <w:lang w:val="es-ES"/>
        </w:rPr>
      </w:pPr>
    </w:p>
    <w:p w14:paraId="1497D6EC" w14:textId="77777777" w:rsidR="00325C62" w:rsidRDefault="00325C62" w:rsidP="005E2D89">
      <w:pPr>
        <w:jc w:val="center"/>
        <w:rPr>
          <w:rFonts w:cs="Arial"/>
          <w:b/>
          <w:sz w:val="28"/>
          <w:lang w:val="es-ES"/>
        </w:rPr>
      </w:pPr>
    </w:p>
    <w:p w14:paraId="0CB63740" w14:textId="77777777" w:rsidR="00325C62" w:rsidRDefault="00325C62" w:rsidP="005E2D89">
      <w:pPr>
        <w:jc w:val="center"/>
        <w:rPr>
          <w:rFonts w:cs="Arial"/>
          <w:b/>
          <w:sz w:val="28"/>
          <w:lang w:val="es-ES"/>
        </w:rPr>
      </w:pPr>
    </w:p>
    <w:p w14:paraId="4AC1AF90" w14:textId="77777777" w:rsidR="00325C62" w:rsidRDefault="00325C62" w:rsidP="005E2D89">
      <w:pPr>
        <w:jc w:val="center"/>
        <w:rPr>
          <w:rFonts w:cs="Arial"/>
          <w:b/>
          <w:sz w:val="28"/>
          <w:lang w:val="es-ES"/>
        </w:rPr>
      </w:pPr>
    </w:p>
    <w:p w14:paraId="547BA359" w14:textId="77777777" w:rsidR="00325C62" w:rsidRDefault="00325C62" w:rsidP="005E2D89">
      <w:pPr>
        <w:jc w:val="center"/>
        <w:rPr>
          <w:rFonts w:cs="Arial"/>
          <w:b/>
          <w:sz w:val="28"/>
          <w:lang w:val="es-ES"/>
        </w:rPr>
      </w:pPr>
    </w:p>
    <w:p w14:paraId="10A22ED7" w14:textId="77777777" w:rsidR="00325C62" w:rsidRDefault="00325C62" w:rsidP="005E2D89">
      <w:pPr>
        <w:jc w:val="center"/>
        <w:rPr>
          <w:rFonts w:cs="Arial"/>
          <w:b/>
          <w:sz w:val="28"/>
          <w:lang w:val="es-ES"/>
        </w:rPr>
      </w:pPr>
    </w:p>
    <w:p w14:paraId="4385B896" w14:textId="77777777" w:rsidR="00325C62" w:rsidRDefault="00325C62" w:rsidP="005E2D89">
      <w:pPr>
        <w:jc w:val="center"/>
        <w:rPr>
          <w:rFonts w:cs="Arial"/>
          <w:b/>
          <w:sz w:val="28"/>
          <w:lang w:val="es-ES"/>
        </w:rPr>
      </w:pPr>
    </w:p>
    <w:p w14:paraId="375F8B88" w14:textId="77777777" w:rsidR="00325C62" w:rsidRDefault="00325C62" w:rsidP="005E2D89">
      <w:pPr>
        <w:jc w:val="center"/>
        <w:rPr>
          <w:rFonts w:cs="Arial"/>
          <w:b/>
          <w:sz w:val="28"/>
          <w:lang w:val="es-ES"/>
        </w:rPr>
      </w:pPr>
    </w:p>
    <w:p w14:paraId="76B926A4" w14:textId="7C071939" w:rsidR="005E2D89" w:rsidRPr="000016AF" w:rsidRDefault="003C27F0" w:rsidP="005E2D89">
      <w:pPr>
        <w:jc w:val="center"/>
        <w:rPr>
          <w:rFonts w:cs="Arial"/>
          <w:b/>
          <w:sz w:val="28"/>
          <w:lang w:val="es-ES"/>
        </w:rPr>
      </w:pPr>
      <w:r w:rsidRPr="000016AF">
        <w:rPr>
          <w:rFonts w:cs="Arial"/>
          <w:b/>
          <w:sz w:val="28"/>
          <w:lang w:val="es-ES"/>
        </w:rPr>
        <w:t xml:space="preserve">ANEXO I: </w:t>
      </w:r>
      <w:r w:rsidR="00F5171D" w:rsidRPr="000016AF">
        <w:rPr>
          <w:rFonts w:cs="Arial"/>
          <w:b/>
          <w:sz w:val="28"/>
          <w:lang w:val="es-ES"/>
        </w:rPr>
        <w:t xml:space="preserve">PAUTAS PARA EL REGISTRO DE DATOS (PARTICIPANTES) Y RECOGIDA INDICADORES (REALIZACIÓN Y RESULTADOS) </w:t>
      </w:r>
    </w:p>
    <w:p w14:paraId="54A86306" w14:textId="6B21474C" w:rsidR="00F5171D" w:rsidRPr="000016AF" w:rsidRDefault="00F5171D" w:rsidP="005E2D89">
      <w:pPr>
        <w:jc w:val="center"/>
        <w:rPr>
          <w:rFonts w:cs="Arial"/>
          <w:b/>
          <w:sz w:val="28"/>
          <w:lang w:val="es-ES"/>
        </w:rPr>
      </w:pPr>
      <w:r w:rsidRPr="000016AF">
        <w:rPr>
          <w:rFonts w:cs="Arial"/>
          <w:b/>
          <w:sz w:val="28"/>
          <w:lang w:val="es-ES"/>
        </w:rPr>
        <w:t>FAMI: 2021-2027</w:t>
      </w:r>
    </w:p>
    <w:p w14:paraId="5AEBB764" w14:textId="77777777" w:rsidR="00150303" w:rsidRPr="000016AF" w:rsidRDefault="00150303" w:rsidP="00F5171D">
      <w:pPr>
        <w:rPr>
          <w:rFonts w:cs="Arial"/>
          <w:b/>
          <w:sz w:val="28"/>
          <w:lang w:val="es-ES"/>
        </w:rPr>
      </w:pPr>
    </w:p>
    <w:p w14:paraId="69EE49F4" w14:textId="77777777" w:rsidR="005E2D89" w:rsidRPr="000016AF" w:rsidRDefault="005E2D89" w:rsidP="00F5171D">
      <w:pPr>
        <w:rPr>
          <w:rFonts w:cs="Arial"/>
          <w:b/>
          <w:sz w:val="24"/>
          <w:lang w:val="es-ES"/>
        </w:rPr>
      </w:pPr>
    </w:p>
    <w:sdt>
      <w:sdtPr>
        <w:rPr>
          <w:rFonts w:eastAsiaTheme="minorHAnsi"/>
          <w:b w:val="0"/>
          <w:bCs w:val="0"/>
          <w:kern w:val="0"/>
          <w:sz w:val="22"/>
          <w:szCs w:val="24"/>
          <w:u w:val="none"/>
          <w:lang w:val="es-ES"/>
        </w:rPr>
        <w:id w:val="296805736"/>
        <w:docPartObj>
          <w:docPartGallery w:val="Table of Contents"/>
          <w:docPartUnique/>
        </w:docPartObj>
      </w:sdtPr>
      <w:sdtEndPr/>
      <w:sdtContent>
        <w:p w14:paraId="6C7B398B" w14:textId="1F3971B2" w:rsidR="00325C62" w:rsidRDefault="00325C62" w:rsidP="00325C62">
          <w:pPr>
            <w:pStyle w:val="TtuloTDC"/>
          </w:pPr>
        </w:p>
        <w:p w14:paraId="4E5B705F" w14:textId="011365BF" w:rsidR="00D53E9C" w:rsidRPr="000016AF" w:rsidRDefault="00EE29D9">
          <w:pPr>
            <w:rPr>
              <w:lang w:val="es-ES"/>
            </w:rPr>
          </w:pPr>
        </w:p>
      </w:sdtContent>
    </w:sdt>
    <w:p w14:paraId="4EDFFEE9" w14:textId="02430072" w:rsidR="00D53E9C" w:rsidRPr="000016AF" w:rsidRDefault="00D53E9C" w:rsidP="00D53E9C">
      <w:pPr>
        <w:spacing w:after="200" w:line="276" w:lineRule="auto"/>
        <w:rPr>
          <w:rFonts w:eastAsiaTheme="majorEastAsia"/>
          <w:b/>
          <w:bCs/>
          <w:iCs/>
          <w:sz w:val="24"/>
          <w:szCs w:val="28"/>
          <w:highlight w:val="lightGray"/>
          <w:lang w:val="es-ES"/>
        </w:rPr>
      </w:pPr>
      <w:r w:rsidRPr="000016AF">
        <w:rPr>
          <w:sz w:val="24"/>
          <w:highlight w:val="lightGray"/>
          <w:lang w:val="es-ES"/>
        </w:rPr>
        <w:br w:type="page"/>
      </w:r>
    </w:p>
    <w:p w14:paraId="696047B6" w14:textId="566DA810" w:rsidR="00F5171D" w:rsidRPr="000016AF" w:rsidRDefault="00D53E9C" w:rsidP="00D53E9C">
      <w:pPr>
        <w:pStyle w:val="Ttulo1"/>
        <w:numPr>
          <w:ilvl w:val="0"/>
          <w:numId w:val="12"/>
        </w:numPr>
        <w:rPr>
          <w:sz w:val="24"/>
          <w:lang w:val="es-ES"/>
        </w:rPr>
      </w:pPr>
      <w:bookmarkStart w:id="0" w:name="_Toc95467671"/>
      <w:r w:rsidRPr="000016AF">
        <w:rPr>
          <w:sz w:val="24"/>
          <w:lang w:val="es-ES"/>
        </w:rPr>
        <w:lastRenderedPageBreak/>
        <w:t>Introducción</w:t>
      </w:r>
      <w:bookmarkEnd w:id="0"/>
    </w:p>
    <w:p w14:paraId="2DABF1A0" w14:textId="77777777" w:rsidR="00D42A1A" w:rsidRPr="000016AF" w:rsidRDefault="00D42A1A" w:rsidP="00F5171D">
      <w:pPr>
        <w:rPr>
          <w:rFonts w:cs="Arial"/>
          <w:lang w:val="es-ES"/>
        </w:rPr>
      </w:pPr>
    </w:p>
    <w:p w14:paraId="297369F9" w14:textId="79D7CF67" w:rsidR="00927784" w:rsidRPr="000016AF" w:rsidRDefault="00F5171D" w:rsidP="00F5171D">
      <w:pPr>
        <w:rPr>
          <w:rFonts w:cs="Arial"/>
          <w:lang w:val="es-ES"/>
        </w:rPr>
      </w:pPr>
      <w:r w:rsidRPr="000016AF">
        <w:rPr>
          <w:rFonts w:cs="Arial"/>
          <w:lang w:val="es-ES"/>
        </w:rPr>
        <w:t>El presente documento se ha elaborado con la intención de ofrecer un apoyo a las entidades en la recogida de indicadores. En el mismo se recoge información detallada de los indicadores que posteriormente se presentan a través de</w:t>
      </w:r>
      <w:r w:rsidR="00927784" w:rsidRPr="000016AF">
        <w:rPr>
          <w:rFonts w:cs="Arial"/>
          <w:lang w:val="es-ES"/>
        </w:rPr>
        <w:t>l Anexo II, compuesto por las siguientes</w:t>
      </w:r>
      <w:r w:rsidRPr="000016AF">
        <w:rPr>
          <w:rFonts w:cs="Arial"/>
          <w:lang w:val="es-ES"/>
        </w:rPr>
        <w:t xml:space="preserve"> </w:t>
      </w:r>
      <w:r w:rsidR="00927784" w:rsidRPr="000016AF">
        <w:rPr>
          <w:rFonts w:cs="Arial"/>
          <w:lang w:val="es-ES"/>
        </w:rPr>
        <w:t>t</w:t>
      </w:r>
      <w:r w:rsidRPr="000016AF">
        <w:rPr>
          <w:rFonts w:cs="Arial"/>
          <w:lang w:val="es-ES"/>
        </w:rPr>
        <w:t>abla</w:t>
      </w:r>
      <w:r w:rsidR="00927784" w:rsidRPr="000016AF">
        <w:rPr>
          <w:rFonts w:cs="Arial"/>
          <w:lang w:val="es-ES"/>
        </w:rPr>
        <w:t>s</w:t>
      </w:r>
      <w:r w:rsidRPr="000016AF">
        <w:rPr>
          <w:rFonts w:cs="Arial"/>
          <w:lang w:val="es-ES"/>
        </w:rPr>
        <w:t xml:space="preserve"> </w:t>
      </w:r>
      <w:proofErr w:type="spellStart"/>
      <w:r w:rsidR="00927784" w:rsidRPr="000016AF">
        <w:rPr>
          <w:rFonts w:cs="Arial"/>
          <w:lang w:val="es-ES"/>
        </w:rPr>
        <w:t>e</w:t>
      </w:r>
      <w:r w:rsidRPr="000016AF">
        <w:rPr>
          <w:rFonts w:cs="Arial"/>
          <w:lang w:val="es-ES"/>
        </w:rPr>
        <w:t>xcel</w:t>
      </w:r>
      <w:proofErr w:type="spellEnd"/>
      <w:r w:rsidRPr="000016AF">
        <w:rPr>
          <w:rFonts w:cs="Arial"/>
          <w:lang w:val="es-ES"/>
        </w:rPr>
        <w:t xml:space="preserve"> de </w:t>
      </w:r>
      <w:r w:rsidR="00927784" w:rsidRPr="000016AF">
        <w:rPr>
          <w:rFonts w:cs="Arial"/>
          <w:lang w:val="es-ES"/>
        </w:rPr>
        <w:t>i</w:t>
      </w:r>
      <w:r w:rsidRPr="000016AF">
        <w:rPr>
          <w:rFonts w:cs="Arial"/>
          <w:lang w:val="es-ES"/>
        </w:rPr>
        <w:t>ndicadores</w:t>
      </w:r>
      <w:r w:rsidR="00927784" w:rsidRPr="000016AF">
        <w:rPr>
          <w:rFonts w:cs="Arial"/>
          <w:lang w:val="es-ES"/>
        </w:rPr>
        <w:t>:</w:t>
      </w:r>
    </w:p>
    <w:p w14:paraId="0503700B" w14:textId="77777777" w:rsidR="00927784" w:rsidRPr="000016AF" w:rsidRDefault="00927784" w:rsidP="00F5171D">
      <w:pPr>
        <w:rPr>
          <w:rFonts w:cs="Arial"/>
          <w:lang w:val="es-ES"/>
        </w:rPr>
      </w:pPr>
    </w:p>
    <w:p w14:paraId="79834353" w14:textId="77777777" w:rsidR="00927784" w:rsidRPr="008F7E8E" w:rsidRDefault="00927784" w:rsidP="00927784">
      <w:pPr>
        <w:pStyle w:val="Prrafodelista"/>
        <w:numPr>
          <w:ilvl w:val="0"/>
          <w:numId w:val="9"/>
        </w:numPr>
        <w:rPr>
          <w:rFonts w:cs="Arial"/>
          <w:lang w:val="pt-PT"/>
        </w:rPr>
      </w:pPr>
      <w:r w:rsidRPr="008F7E8E">
        <w:rPr>
          <w:rFonts w:cs="Arial"/>
          <w:lang w:val="pt-PT"/>
        </w:rPr>
        <w:t>Anexo_II.2_Formulario_OE2_FAMI.</w:t>
      </w:r>
    </w:p>
    <w:p w14:paraId="42F95B4A" w14:textId="77777777" w:rsidR="005E2D89" w:rsidRPr="008F7E8E" w:rsidRDefault="005E2D89" w:rsidP="00F5171D">
      <w:pPr>
        <w:rPr>
          <w:rFonts w:cs="Arial"/>
          <w:lang w:val="pt-PT"/>
        </w:rPr>
      </w:pPr>
    </w:p>
    <w:p w14:paraId="30403BFD" w14:textId="20DC2938" w:rsidR="005E2D89" w:rsidRPr="000016AF" w:rsidRDefault="00927784" w:rsidP="00F5171D">
      <w:pPr>
        <w:rPr>
          <w:rFonts w:cs="Arial"/>
          <w:lang w:val="es-ES"/>
        </w:rPr>
      </w:pPr>
      <w:r w:rsidRPr="000016AF">
        <w:rPr>
          <w:rFonts w:cs="Arial"/>
          <w:lang w:val="es-ES"/>
        </w:rPr>
        <w:t>Estas</w:t>
      </w:r>
      <w:r w:rsidR="00F5171D" w:rsidRPr="000016AF">
        <w:rPr>
          <w:rFonts w:cs="Arial"/>
          <w:lang w:val="es-ES"/>
        </w:rPr>
        <w:t xml:space="preserve"> </w:t>
      </w:r>
      <w:r w:rsidRPr="000016AF">
        <w:rPr>
          <w:rFonts w:cs="Arial"/>
          <w:lang w:val="es-ES"/>
        </w:rPr>
        <w:t>t</w:t>
      </w:r>
      <w:r w:rsidR="00F5171D" w:rsidRPr="000016AF">
        <w:rPr>
          <w:rFonts w:cs="Arial"/>
          <w:lang w:val="es-ES"/>
        </w:rPr>
        <w:t>abla</w:t>
      </w:r>
      <w:r w:rsidRPr="000016AF">
        <w:rPr>
          <w:rFonts w:cs="Arial"/>
          <w:lang w:val="es-ES"/>
        </w:rPr>
        <w:t>s</w:t>
      </w:r>
      <w:r w:rsidR="00F5171D" w:rsidRPr="000016AF">
        <w:rPr>
          <w:rFonts w:cs="Arial"/>
          <w:lang w:val="es-ES"/>
        </w:rPr>
        <w:t xml:space="preserve"> </w:t>
      </w:r>
      <w:proofErr w:type="spellStart"/>
      <w:r w:rsidRPr="000016AF">
        <w:rPr>
          <w:rFonts w:cs="Arial"/>
          <w:lang w:val="es-ES"/>
        </w:rPr>
        <w:t>e</w:t>
      </w:r>
      <w:r w:rsidR="00F5171D" w:rsidRPr="000016AF">
        <w:rPr>
          <w:rFonts w:cs="Arial"/>
          <w:lang w:val="es-ES"/>
        </w:rPr>
        <w:t>xcel</w:t>
      </w:r>
      <w:proofErr w:type="spellEnd"/>
      <w:r w:rsidR="00F5171D" w:rsidRPr="000016AF">
        <w:rPr>
          <w:rFonts w:cs="Arial"/>
          <w:lang w:val="es-ES"/>
        </w:rPr>
        <w:t xml:space="preserve"> </w:t>
      </w:r>
      <w:r w:rsidRPr="000016AF">
        <w:rPr>
          <w:rFonts w:cs="Arial"/>
          <w:lang w:val="es-ES"/>
        </w:rPr>
        <w:t>son</w:t>
      </w:r>
      <w:r w:rsidR="00F5171D" w:rsidRPr="000016AF">
        <w:rPr>
          <w:rFonts w:cs="Arial"/>
          <w:lang w:val="es-ES"/>
        </w:rPr>
        <w:t xml:space="preserve"> una herramienta transitoria y tendrá</w:t>
      </w:r>
      <w:r w:rsidR="00A10D3C" w:rsidRPr="000016AF">
        <w:rPr>
          <w:rFonts w:cs="Arial"/>
          <w:lang w:val="es-ES"/>
        </w:rPr>
        <w:t>n</w:t>
      </w:r>
      <w:r w:rsidR="00F5171D" w:rsidRPr="000016AF">
        <w:rPr>
          <w:rFonts w:cs="Arial"/>
          <w:lang w:val="es-ES"/>
        </w:rPr>
        <w:t xml:space="preserve"> una vigencia temporal, hasta que la nueva aplicación </w:t>
      </w:r>
      <w:r w:rsidR="003C27F0" w:rsidRPr="000016AF">
        <w:rPr>
          <w:rFonts w:cs="Arial"/>
          <w:lang w:val="es-ES"/>
        </w:rPr>
        <w:t>FAMI</w:t>
      </w:r>
      <w:r w:rsidR="00F5171D" w:rsidRPr="000016AF">
        <w:rPr>
          <w:rFonts w:cs="Arial"/>
          <w:lang w:val="es-ES"/>
        </w:rPr>
        <w:t xml:space="preserve"> finalice el proceso de adaptación del formato a las exigencias marcadas por el nuevo </w:t>
      </w:r>
      <w:r w:rsidR="003C27F0" w:rsidRPr="000016AF">
        <w:rPr>
          <w:rFonts w:cs="Arial"/>
          <w:lang w:val="es-ES"/>
        </w:rPr>
        <w:t>Reglamento (UE) 2021/1147.</w:t>
      </w:r>
    </w:p>
    <w:p w14:paraId="2E8D5E09" w14:textId="281953B4" w:rsidR="009E247B" w:rsidRPr="000016AF" w:rsidRDefault="009E247B" w:rsidP="00F5171D">
      <w:pPr>
        <w:rPr>
          <w:rFonts w:cs="Arial"/>
          <w:color w:val="FF0000"/>
          <w:lang w:val="es-ES"/>
        </w:rPr>
      </w:pPr>
      <w:r w:rsidRPr="000016AF">
        <w:rPr>
          <w:rFonts w:cs="Arial"/>
          <w:color w:val="FF0000"/>
          <w:lang w:val="es-ES"/>
        </w:rPr>
        <w:br w:type="page"/>
      </w:r>
    </w:p>
    <w:p w14:paraId="3546D179" w14:textId="7952CC9E" w:rsidR="005E2D89" w:rsidRPr="000016AF" w:rsidRDefault="00D53E9C" w:rsidP="00D53E9C">
      <w:pPr>
        <w:pStyle w:val="Ttulo1"/>
        <w:numPr>
          <w:ilvl w:val="0"/>
          <w:numId w:val="12"/>
        </w:numPr>
        <w:rPr>
          <w:sz w:val="24"/>
          <w:lang w:val="es-ES"/>
        </w:rPr>
      </w:pPr>
      <w:bookmarkStart w:id="1" w:name="_Toc95467672"/>
      <w:r w:rsidRPr="000016AF">
        <w:rPr>
          <w:sz w:val="24"/>
          <w:lang w:val="es-ES"/>
        </w:rPr>
        <w:lastRenderedPageBreak/>
        <w:t>Definiciones</w:t>
      </w:r>
      <w:bookmarkEnd w:id="1"/>
      <w:r w:rsidR="00325C62">
        <w:rPr>
          <w:sz w:val="24"/>
          <w:lang w:val="es-ES"/>
        </w:rPr>
        <w:t xml:space="preserve"> </w:t>
      </w:r>
      <w:r w:rsidR="00EE29D9">
        <w:rPr>
          <w:b w:val="0"/>
          <w:sz w:val="24"/>
          <w:u w:val="none"/>
          <w:lang w:val="es-ES"/>
        </w:rPr>
        <w:t>(generales para todos los objetivos específicos)</w:t>
      </w:r>
      <w:bookmarkStart w:id="2" w:name="_GoBack"/>
      <w:bookmarkEnd w:id="2"/>
    </w:p>
    <w:p w14:paraId="6790908A" w14:textId="3005E696" w:rsidR="005E2D89" w:rsidRPr="000016AF" w:rsidRDefault="005E2D89" w:rsidP="00F5171D">
      <w:pPr>
        <w:rPr>
          <w:rFonts w:cs="Arial"/>
          <w:color w:val="FF0000"/>
          <w:lang w:val="es-ES"/>
        </w:rPr>
      </w:pPr>
    </w:p>
    <w:tbl>
      <w:tblPr>
        <w:tblStyle w:val="Tablaconcuadrcula1"/>
        <w:tblW w:w="0" w:type="auto"/>
        <w:tblInd w:w="-5" w:type="dxa"/>
        <w:tblLook w:val="04A0" w:firstRow="1" w:lastRow="0" w:firstColumn="1" w:lastColumn="0" w:noHBand="0" w:noVBand="1"/>
      </w:tblPr>
      <w:tblGrid>
        <w:gridCol w:w="1990"/>
        <w:gridCol w:w="4416"/>
        <w:gridCol w:w="2518"/>
      </w:tblGrid>
      <w:tr w:rsidR="009E247B" w:rsidRPr="000016AF" w14:paraId="5AC43F48" w14:textId="77777777" w:rsidTr="009E247B">
        <w:trPr>
          <w:cantSplit/>
        </w:trPr>
        <w:tc>
          <w:tcPr>
            <w:tcW w:w="1990" w:type="dxa"/>
            <w:tcBorders>
              <w:top w:val="single" w:sz="4" w:space="0" w:color="auto"/>
              <w:left w:val="single" w:sz="4" w:space="0" w:color="auto"/>
              <w:bottom w:val="single" w:sz="4" w:space="0" w:color="auto"/>
              <w:right w:val="single" w:sz="4" w:space="0" w:color="auto"/>
            </w:tcBorders>
            <w:shd w:val="clear" w:color="auto" w:fill="D9E1F2"/>
          </w:tcPr>
          <w:p w14:paraId="2F5036CA" w14:textId="77777777" w:rsidR="009E247B" w:rsidRPr="000016AF" w:rsidRDefault="009E247B">
            <w:pPr>
              <w:rPr>
                <w:rFonts w:cs="Arial"/>
                <w:szCs w:val="22"/>
                <w:lang w:val="es-ES"/>
              </w:rPr>
            </w:pPr>
          </w:p>
        </w:tc>
        <w:tc>
          <w:tcPr>
            <w:tcW w:w="4416" w:type="dxa"/>
            <w:tcBorders>
              <w:top w:val="single" w:sz="4" w:space="0" w:color="auto"/>
              <w:left w:val="single" w:sz="4" w:space="0" w:color="auto"/>
              <w:bottom w:val="single" w:sz="4" w:space="0" w:color="auto"/>
              <w:right w:val="single" w:sz="4" w:space="0" w:color="auto"/>
            </w:tcBorders>
            <w:shd w:val="clear" w:color="auto" w:fill="D9E1F2"/>
            <w:hideMark/>
          </w:tcPr>
          <w:p w14:paraId="3352B7FA" w14:textId="77777777" w:rsidR="009E247B" w:rsidRPr="000016AF" w:rsidRDefault="009E247B">
            <w:pPr>
              <w:rPr>
                <w:rFonts w:cs="Arial"/>
                <w:b/>
                <w:lang w:val="es-ES"/>
              </w:rPr>
            </w:pPr>
            <w:r w:rsidRPr="000016AF">
              <w:rPr>
                <w:rFonts w:cs="Arial"/>
                <w:b/>
                <w:lang w:val="es-ES"/>
              </w:rPr>
              <w:t>Definición</w:t>
            </w:r>
          </w:p>
        </w:tc>
        <w:tc>
          <w:tcPr>
            <w:tcW w:w="2518" w:type="dxa"/>
            <w:tcBorders>
              <w:top w:val="single" w:sz="4" w:space="0" w:color="auto"/>
              <w:left w:val="single" w:sz="4" w:space="0" w:color="auto"/>
              <w:bottom w:val="single" w:sz="4" w:space="0" w:color="auto"/>
              <w:right w:val="single" w:sz="4" w:space="0" w:color="auto"/>
            </w:tcBorders>
            <w:shd w:val="clear" w:color="auto" w:fill="D9E1F2"/>
            <w:hideMark/>
          </w:tcPr>
          <w:p w14:paraId="0768CE6F" w14:textId="77777777" w:rsidR="009E247B" w:rsidRPr="000016AF" w:rsidRDefault="009E247B">
            <w:pPr>
              <w:rPr>
                <w:rFonts w:cs="Arial"/>
                <w:b/>
                <w:lang w:val="es-ES"/>
              </w:rPr>
            </w:pPr>
            <w:r w:rsidRPr="000016AF">
              <w:rPr>
                <w:rFonts w:cs="Arial"/>
                <w:b/>
                <w:lang w:val="es-ES"/>
              </w:rPr>
              <w:t>Fuente</w:t>
            </w:r>
          </w:p>
        </w:tc>
      </w:tr>
      <w:tr w:rsidR="009E247B" w:rsidRPr="000A250C" w14:paraId="4FA142F4"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35BC8785" w14:textId="77777777" w:rsidR="009E247B" w:rsidRPr="000016AF" w:rsidRDefault="009E247B">
            <w:pPr>
              <w:rPr>
                <w:rFonts w:cs="Arial"/>
                <w:lang w:val="es-ES"/>
              </w:rPr>
            </w:pPr>
            <w:r w:rsidRPr="000016AF">
              <w:rPr>
                <w:rFonts w:cs="Arial"/>
                <w:lang w:val="es-ES"/>
              </w:rPr>
              <w:t xml:space="preserve">Actividad de formación </w:t>
            </w:r>
          </w:p>
        </w:tc>
        <w:tc>
          <w:tcPr>
            <w:tcW w:w="4416" w:type="dxa"/>
            <w:tcBorders>
              <w:top w:val="single" w:sz="4" w:space="0" w:color="auto"/>
              <w:left w:val="single" w:sz="4" w:space="0" w:color="auto"/>
              <w:bottom w:val="single" w:sz="4" w:space="0" w:color="auto"/>
              <w:right w:val="single" w:sz="4" w:space="0" w:color="auto"/>
            </w:tcBorders>
            <w:hideMark/>
          </w:tcPr>
          <w:p w14:paraId="1CA7D568" w14:textId="77777777" w:rsidR="009E247B" w:rsidRPr="000016AF" w:rsidRDefault="009E247B">
            <w:pPr>
              <w:rPr>
                <w:rFonts w:cs="Arial"/>
                <w:lang w:val="es-ES"/>
              </w:rPr>
            </w:pPr>
            <w:r w:rsidRPr="000016AF">
              <w:rPr>
                <w:rFonts w:cs="Arial"/>
                <w:lang w:val="es-ES"/>
              </w:rPr>
              <w:t xml:space="preserve">Modalidad formativa de carácter puntual cuyo objetivo puede ser, entre otros: </w:t>
            </w:r>
          </w:p>
          <w:p w14:paraId="6DB2B352" w14:textId="77777777" w:rsidR="009E247B" w:rsidRPr="000016AF" w:rsidRDefault="009E247B" w:rsidP="009E247B">
            <w:pPr>
              <w:pStyle w:val="Prrafodelista"/>
              <w:numPr>
                <w:ilvl w:val="0"/>
                <w:numId w:val="13"/>
              </w:numPr>
              <w:contextualSpacing w:val="0"/>
              <w:rPr>
                <w:rFonts w:cs="Arial"/>
                <w:lang w:val="es-ES"/>
              </w:rPr>
            </w:pPr>
            <w:r w:rsidRPr="000016AF">
              <w:rPr>
                <w:rFonts w:cs="Arial"/>
                <w:lang w:val="es-ES"/>
              </w:rPr>
              <w:t>difundir contenidos sobre un tema monográfico previamente fijado,</w:t>
            </w:r>
          </w:p>
          <w:p w14:paraId="7B9647FF" w14:textId="77777777" w:rsidR="009E247B" w:rsidRPr="000016AF" w:rsidRDefault="009E247B" w:rsidP="009E247B">
            <w:pPr>
              <w:pStyle w:val="Prrafodelista"/>
              <w:numPr>
                <w:ilvl w:val="0"/>
                <w:numId w:val="13"/>
              </w:numPr>
              <w:contextualSpacing w:val="0"/>
              <w:rPr>
                <w:rFonts w:cs="Arial"/>
                <w:lang w:val="es-ES"/>
              </w:rPr>
            </w:pPr>
            <w:r w:rsidRPr="000016AF">
              <w:rPr>
                <w:rFonts w:cs="Arial"/>
                <w:lang w:val="es-ES"/>
              </w:rPr>
              <w:t xml:space="preserve">intercambiar experiencias, </w:t>
            </w:r>
          </w:p>
          <w:p w14:paraId="4F55018A" w14:textId="77777777" w:rsidR="009E247B" w:rsidRPr="000016AF" w:rsidRDefault="009E247B" w:rsidP="009E247B">
            <w:pPr>
              <w:pStyle w:val="Prrafodelista"/>
              <w:numPr>
                <w:ilvl w:val="0"/>
                <w:numId w:val="13"/>
              </w:numPr>
              <w:contextualSpacing w:val="0"/>
              <w:rPr>
                <w:rFonts w:cs="Arial"/>
                <w:lang w:val="es-ES"/>
              </w:rPr>
            </w:pPr>
            <w:r w:rsidRPr="000016AF">
              <w:rPr>
                <w:rFonts w:cs="Arial"/>
                <w:lang w:val="es-ES"/>
              </w:rPr>
              <w:t xml:space="preserve">debatir sobre los avances que se vengan realizando en un campo determinado, </w:t>
            </w:r>
          </w:p>
          <w:p w14:paraId="0B28E760" w14:textId="77777777" w:rsidR="009E247B" w:rsidRPr="000016AF" w:rsidRDefault="009E247B" w:rsidP="009E247B">
            <w:pPr>
              <w:pStyle w:val="Prrafodelista"/>
              <w:numPr>
                <w:ilvl w:val="0"/>
                <w:numId w:val="13"/>
              </w:numPr>
              <w:contextualSpacing w:val="0"/>
              <w:rPr>
                <w:rFonts w:cs="Arial"/>
                <w:lang w:val="es-ES"/>
              </w:rPr>
            </w:pPr>
            <w:r w:rsidRPr="000016AF">
              <w:rPr>
                <w:rFonts w:cs="Arial"/>
                <w:lang w:val="es-ES"/>
              </w:rPr>
              <w:t>adquirir o desarrollar capacidades y competencias específicas.</w:t>
            </w:r>
          </w:p>
        </w:tc>
        <w:tc>
          <w:tcPr>
            <w:tcW w:w="2518" w:type="dxa"/>
            <w:tcBorders>
              <w:top w:val="single" w:sz="4" w:space="0" w:color="auto"/>
              <w:left w:val="single" w:sz="4" w:space="0" w:color="auto"/>
              <w:bottom w:val="single" w:sz="4" w:space="0" w:color="auto"/>
              <w:right w:val="single" w:sz="4" w:space="0" w:color="auto"/>
            </w:tcBorders>
            <w:hideMark/>
          </w:tcPr>
          <w:p w14:paraId="3B40F1FE" w14:textId="77777777" w:rsidR="009E247B" w:rsidRPr="000016AF" w:rsidRDefault="009E247B">
            <w:pPr>
              <w:rPr>
                <w:rFonts w:cs="Arial"/>
                <w:lang w:val="es-ES"/>
              </w:rPr>
            </w:pPr>
            <w:r w:rsidRPr="000016AF">
              <w:rPr>
                <w:rFonts w:cs="Arial"/>
                <w:lang w:val="es-ES"/>
              </w:rPr>
              <w:t>Definición propia a partir de AMIF Indicador Fiche</w:t>
            </w:r>
          </w:p>
          <w:p w14:paraId="459065E1" w14:textId="53AE4D3D" w:rsidR="009E247B" w:rsidRPr="00582952"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A250C" w14:paraId="226F2A1D"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789258CA" w14:textId="77777777" w:rsidR="009E247B" w:rsidRPr="000016AF" w:rsidRDefault="009E247B">
            <w:pPr>
              <w:rPr>
                <w:rFonts w:cs="Arial"/>
                <w:lang w:val="es-ES"/>
              </w:rPr>
            </w:pPr>
            <w:r w:rsidRPr="000016AF">
              <w:rPr>
                <w:rFonts w:cs="Arial"/>
                <w:lang w:val="es-ES"/>
              </w:rPr>
              <w:t>Admisión humanitaria</w:t>
            </w:r>
          </w:p>
        </w:tc>
        <w:tc>
          <w:tcPr>
            <w:tcW w:w="4416" w:type="dxa"/>
            <w:tcBorders>
              <w:top w:val="single" w:sz="4" w:space="0" w:color="auto"/>
              <w:left w:val="single" w:sz="4" w:space="0" w:color="auto"/>
              <w:bottom w:val="single" w:sz="4" w:space="0" w:color="auto"/>
              <w:right w:val="single" w:sz="4" w:space="0" w:color="auto"/>
            </w:tcBorders>
            <w:hideMark/>
          </w:tcPr>
          <w:p w14:paraId="21652888" w14:textId="77777777" w:rsidR="009E247B" w:rsidRPr="000016AF" w:rsidRDefault="009E247B">
            <w:pPr>
              <w:jc w:val="both"/>
              <w:rPr>
                <w:rFonts w:cs="Arial"/>
                <w:lang w:val="es-ES"/>
              </w:rPr>
            </w:pPr>
            <w:r w:rsidRPr="000016AF">
              <w:rPr>
                <w:rFonts w:cs="Arial"/>
                <w:lang w:val="es-ES"/>
              </w:rPr>
              <w:t>Aquella admisión que se produzca en el territorio de los Estados miembros, a raíz, cuando lo solicite un Estado miembro, de una remisión de la Oficina Europea de Apoyo al Asilo (EASO), la Oficina del Alto Comisionado de las Naciones Unidas para los Refugiados (ACNUR) o de otro organismo internacional pertinente, de nacionales de terceros países o apátridas desde un tercer país al que hayan sido desplazados a la fuerza y a los que se conceda protección internacional o un estatuto humanitario con arreglo al Derecho nacional que establezca derechos y obligaciones equivalentes a los establecidos en los artículos 20 a 34 de la Directiva 2011/95/UE para los beneficiarios de protección subsidiaria.</w:t>
            </w:r>
          </w:p>
        </w:tc>
        <w:tc>
          <w:tcPr>
            <w:tcW w:w="2518" w:type="dxa"/>
            <w:tcBorders>
              <w:top w:val="single" w:sz="4" w:space="0" w:color="auto"/>
              <w:left w:val="single" w:sz="4" w:space="0" w:color="auto"/>
              <w:bottom w:val="single" w:sz="4" w:space="0" w:color="auto"/>
              <w:right w:val="single" w:sz="4" w:space="0" w:color="auto"/>
            </w:tcBorders>
            <w:hideMark/>
          </w:tcPr>
          <w:p w14:paraId="40D0B9A8" w14:textId="77777777" w:rsidR="009E247B" w:rsidRPr="000016AF" w:rsidRDefault="009E247B">
            <w:pPr>
              <w:rPr>
                <w:rFonts w:cs="Arial"/>
                <w:lang w:val="es-ES"/>
              </w:rPr>
            </w:pPr>
            <w:r w:rsidRPr="000016AF">
              <w:rPr>
                <w:rFonts w:cs="Arial"/>
                <w:lang w:val="es-ES"/>
              </w:rPr>
              <w:t>Art. 2.5 Reglamento (UE) 2021/1147 del Parlamento Europeo y del Consejo.</w:t>
            </w:r>
          </w:p>
        </w:tc>
      </w:tr>
      <w:tr w:rsidR="009E247B" w:rsidRPr="000A250C" w14:paraId="38371580"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1DAF6A56" w14:textId="77777777" w:rsidR="009E247B" w:rsidRPr="000016AF" w:rsidRDefault="009E247B">
            <w:pPr>
              <w:rPr>
                <w:rFonts w:cs="Arial"/>
                <w:lang w:val="es-ES"/>
              </w:rPr>
            </w:pPr>
            <w:r w:rsidRPr="000016AF">
              <w:rPr>
                <w:rFonts w:cs="Arial"/>
                <w:lang w:val="es-ES"/>
              </w:rPr>
              <w:t>Apoyo previo a la salida</w:t>
            </w:r>
          </w:p>
        </w:tc>
        <w:tc>
          <w:tcPr>
            <w:tcW w:w="4416" w:type="dxa"/>
            <w:tcBorders>
              <w:top w:val="single" w:sz="4" w:space="0" w:color="auto"/>
              <w:left w:val="single" w:sz="4" w:space="0" w:color="auto"/>
              <w:bottom w:val="single" w:sz="4" w:space="0" w:color="auto"/>
              <w:right w:val="single" w:sz="4" w:space="0" w:color="auto"/>
            </w:tcBorders>
            <w:hideMark/>
          </w:tcPr>
          <w:p w14:paraId="6D8F29E0" w14:textId="5876D826" w:rsidR="009E247B" w:rsidRPr="000016AF" w:rsidRDefault="009E247B">
            <w:pPr>
              <w:rPr>
                <w:rFonts w:cs="Arial"/>
                <w:lang w:val="es-ES"/>
              </w:rPr>
            </w:pPr>
            <w:r w:rsidRPr="000016AF">
              <w:rPr>
                <w:rFonts w:cs="Arial"/>
                <w:lang w:val="es-ES"/>
              </w:rPr>
              <w:t xml:space="preserve">Aquel que tiene lugar en el tercer país en el que se encuentra el nacional del tercer país, antes de su viaje a un Estado miembro. El apoyo está orientado a ayudar únicamente a los </w:t>
            </w:r>
            <w:r w:rsidR="008F7E8E">
              <w:rPr>
                <w:rFonts w:cs="Arial"/>
                <w:lang w:val="es-ES"/>
              </w:rPr>
              <w:t>NTP</w:t>
            </w:r>
            <w:r w:rsidRPr="000016AF">
              <w:rPr>
                <w:rFonts w:cs="Arial"/>
                <w:lang w:val="es-ES"/>
              </w:rPr>
              <w:t xml:space="preserve"> que han sido admitidos por un Estado miembro a través de programas de reasentamiento o de admisión humanitaria, antes de su salida efectiva hacia el Estado miembro en cuestión.  </w:t>
            </w:r>
          </w:p>
        </w:tc>
        <w:tc>
          <w:tcPr>
            <w:tcW w:w="2518" w:type="dxa"/>
            <w:tcBorders>
              <w:top w:val="single" w:sz="4" w:space="0" w:color="auto"/>
              <w:left w:val="single" w:sz="4" w:space="0" w:color="auto"/>
              <w:bottom w:val="single" w:sz="4" w:space="0" w:color="auto"/>
              <w:right w:val="single" w:sz="4" w:space="0" w:color="auto"/>
            </w:tcBorders>
            <w:hideMark/>
          </w:tcPr>
          <w:p w14:paraId="28465EE7" w14:textId="77777777" w:rsidR="009E247B" w:rsidRPr="00582952" w:rsidRDefault="009E247B">
            <w:pPr>
              <w:rPr>
                <w:rFonts w:cs="Arial"/>
                <w:lang w:val="en-AU"/>
              </w:rPr>
            </w:pPr>
            <w:r w:rsidRPr="00582952">
              <w:rPr>
                <w:rFonts w:cs="Arial"/>
                <w:lang w:val="en-AU"/>
              </w:rPr>
              <w:t>AMIF Indicator Fiche</w:t>
            </w:r>
          </w:p>
          <w:p w14:paraId="2EB38661" w14:textId="0B9CAABC" w:rsidR="009E247B" w:rsidRPr="0073548D"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A250C" w14:paraId="380AE000"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3440964F" w14:textId="77777777" w:rsidR="009E247B" w:rsidRPr="000016AF" w:rsidRDefault="009E247B">
            <w:pPr>
              <w:rPr>
                <w:rFonts w:cs="Arial"/>
                <w:lang w:val="es-ES"/>
              </w:rPr>
            </w:pPr>
            <w:r w:rsidRPr="000016AF">
              <w:rPr>
                <w:rFonts w:cs="Arial"/>
                <w:lang w:val="es-ES"/>
              </w:rPr>
              <w:lastRenderedPageBreak/>
              <w:t>Asistencia jurídica</w:t>
            </w:r>
          </w:p>
        </w:tc>
        <w:tc>
          <w:tcPr>
            <w:tcW w:w="4416" w:type="dxa"/>
            <w:tcBorders>
              <w:top w:val="single" w:sz="4" w:space="0" w:color="auto"/>
              <w:left w:val="single" w:sz="4" w:space="0" w:color="auto"/>
              <w:bottom w:val="single" w:sz="4" w:space="0" w:color="auto"/>
              <w:right w:val="single" w:sz="4" w:space="0" w:color="auto"/>
            </w:tcBorders>
            <w:hideMark/>
          </w:tcPr>
          <w:p w14:paraId="2CD32121" w14:textId="5F6571D4" w:rsidR="009E247B" w:rsidRPr="000016AF" w:rsidRDefault="0073548D">
            <w:pPr>
              <w:rPr>
                <w:rFonts w:cs="Arial"/>
                <w:lang w:val="es-ES"/>
              </w:rPr>
            </w:pPr>
            <w:r w:rsidRPr="001B02F1">
              <w:rPr>
                <w:rFonts w:cs="Arial"/>
                <w:lang w:val="es-ES"/>
              </w:rPr>
              <w:t>Asistencia en el sentido del apartado 23 del preámbulo de la Directiva 2013/32/UE sobre procedimientos comunes para la concesión y la retirada de la protección internacional y de los artículos 12 y 19 a 23 de la Directiva 2013/32/UE sobre procedimientos comunes para la concesión y la retirada de la protección internacional.</w:t>
            </w:r>
          </w:p>
        </w:tc>
        <w:tc>
          <w:tcPr>
            <w:tcW w:w="2518" w:type="dxa"/>
            <w:tcBorders>
              <w:top w:val="single" w:sz="4" w:space="0" w:color="auto"/>
              <w:left w:val="single" w:sz="4" w:space="0" w:color="auto"/>
              <w:bottom w:val="single" w:sz="4" w:space="0" w:color="auto"/>
              <w:right w:val="single" w:sz="4" w:space="0" w:color="auto"/>
            </w:tcBorders>
            <w:hideMark/>
          </w:tcPr>
          <w:p w14:paraId="3AAAACF4" w14:textId="77777777" w:rsidR="009E247B" w:rsidRPr="00582952" w:rsidRDefault="009E247B">
            <w:pPr>
              <w:rPr>
                <w:rFonts w:cs="Arial"/>
                <w:lang w:val="en-AU"/>
              </w:rPr>
            </w:pPr>
            <w:r w:rsidRPr="00582952">
              <w:rPr>
                <w:rFonts w:cs="Arial"/>
                <w:lang w:val="en-AU"/>
              </w:rPr>
              <w:t>AMIF Indicator Fiche</w:t>
            </w:r>
          </w:p>
          <w:p w14:paraId="40B9EECC" w14:textId="29CBC1A5" w:rsidR="009E247B" w:rsidRPr="0073548D"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A250C" w14:paraId="292A8B25"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14403C51" w14:textId="77777777" w:rsidR="009E247B" w:rsidRPr="000016AF" w:rsidRDefault="009E247B">
            <w:pPr>
              <w:rPr>
                <w:rFonts w:cs="Arial"/>
                <w:lang w:val="es-ES"/>
              </w:rPr>
            </w:pPr>
            <w:r w:rsidRPr="000016AF">
              <w:rPr>
                <w:rFonts w:cs="Arial"/>
                <w:lang w:val="es-ES"/>
              </w:rPr>
              <w:t>Asistencia para la reintegración</w:t>
            </w:r>
          </w:p>
        </w:tc>
        <w:tc>
          <w:tcPr>
            <w:tcW w:w="4416" w:type="dxa"/>
            <w:tcBorders>
              <w:top w:val="single" w:sz="4" w:space="0" w:color="auto"/>
              <w:left w:val="single" w:sz="4" w:space="0" w:color="auto"/>
              <w:bottom w:val="single" w:sz="4" w:space="0" w:color="auto"/>
              <w:right w:val="single" w:sz="4" w:space="0" w:color="auto"/>
            </w:tcBorders>
            <w:hideMark/>
          </w:tcPr>
          <w:p w14:paraId="7F569A82" w14:textId="48EB4DD3" w:rsidR="009E247B" w:rsidRPr="000016AF" w:rsidRDefault="009E247B">
            <w:pPr>
              <w:rPr>
                <w:rFonts w:cs="Arial"/>
                <w:lang w:val="es-ES"/>
              </w:rPr>
            </w:pPr>
            <w:r w:rsidRPr="000016AF">
              <w:rPr>
                <w:rFonts w:cs="Arial"/>
                <w:lang w:val="es-ES"/>
              </w:rPr>
              <w:t xml:space="preserve">Apoyo </w:t>
            </w:r>
            <w:r w:rsidR="008F7E8E">
              <w:rPr>
                <w:rFonts w:cs="Arial"/>
                <w:lang w:val="es-ES"/>
              </w:rPr>
              <w:t>-</w:t>
            </w:r>
            <w:r w:rsidRPr="000016AF">
              <w:rPr>
                <w:rFonts w:cs="Arial"/>
                <w:lang w:val="es-ES"/>
              </w:rPr>
              <w:t>ya sea mediante dinero en efectivo, en especie, apoyo personalizado o una combinación de estas ayudas</w:t>
            </w:r>
            <w:r w:rsidR="008F7E8E">
              <w:rPr>
                <w:rFonts w:cs="Arial"/>
                <w:lang w:val="es-ES"/>
              </w:rPr>
              <w:t>-</w:t>
            </w:r>
            <w:r w:rsidRPr="000016AF">
              <w:rPr>
                <w:rFonts w:cs="Arial"/>
                <w:lang w:val="es-ES"/>
              </w:rPr>
              <w:t xml:space="preserve"> proporcionado por un país de acogida a un retornado, con el objetivo de ayudarle a llevar una vida independiente.</w:t>
            </w:r>
          </w:p>
        </w:tc>
        <w:tc>
          <w:tcPr>
            <w:tcW w:w="2518" w:type="dxa"/>
            <w:tcBorders>
              <w:top w:val="single" w:sz="4" w:space="0" w:color="auto"/>
              <w:left w:val="single" w:sz="4" w:space="0" w:color="auto"/>
              <w:bottom w:val="single" w:sz="4" w:space="0" w:color="auto"/>
              <w:right w:val="single" w:sz="4" w:space="0" w:color="auto"/>
            </w:tcBorders>
            <w:hideMark/>
          </w:tcPr>
          <w:p w14:paraId="38725813" w14:textId="77777777" w:rsidR="009E247B" w:rsidRPr="00582952" w:rsidRDefault="009E247B">
            <w:pPr>
              <w:rPr>
                <w:rFonts w:cs="Arial"/>
                <w:lang w:val="en-AU"/>
              </w:rPr>
            </w:pPr>
            <w:r w:rsidRPr="00582952">
              <w:rPr>
                <w:rFonts w:cs="Arial"/>
                <w:lang w:val="en-AU"/>
              </w:rPr>
              <w:t>AMIF Indicator Fiche</w:t>
            </w:r>
          </w:p>
          <w:p w14:paraId="15A9ABA5" w14:textId="44D38B9A" w:rsidR="009E247B" w:rsidRPr="0073548D"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A250C" w14:paraId="05CE16A8"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028D8BD" w14:textId="77777777" w:rsidR="009E247B" w:rsidRPr="000016AF" w:rsidRDefault="009E247B">
            <w:pPr>
              <w:rPr>
                <w:rFonts w:cs="Arial"/>
                <w:lang w:val="es-ES"/>
              </w:rPr>
            </w:pPr>
            <w:r w:rsidRPr="000016AF">
              <w:rPr>
                <w:rFonts w:cs="Arial"/>
                <w:lang w:val="es-ES"/>
              </w:rPr>
              <w:t>Campaña de sensibilización</w:t>
            </w:r>
          </w:p>
        </w:tc>
        <w:tc>
          <w:tcPr>
            <w:tcW w:w="4416" w:type="dxa"/>
            <w:tcBorders>
              <w:top w:val="single" w:sz="4" w:space="0" w:color="auto"/>
              <w:left w:val="single" w:sz="4" w:space="0" w:color="auto"/>
              <w:bottom w:val="single" w:sz="4" w:space="0" w:color="auto"/>
              <w:right w:val="single" w:sz="4" w:space="0" w:color="auto"/>
            </w:tcBorders>
            <w:hideMark/>
          </w:tcPr>
          <w:p w14:paraId="1A0FC3BF" w14:textId="77777777" w:rsidR="009E247B" w:rsidRPr="000016AF" w:rsidRDefault="009E247B">
            <w:pPr>
              <w:rPr>
                <w:rFonts w:cs="Arial"/>
                <w:lang w:val="es-ES"/>
              </w:rPr>
            </w:pPr>
            <w:r w:rsidRPr="000016AF">
              <w:rPr>
                <w:rFonts w:cs="Arial"/>
                <w:lang w:val="es-ES"/>
              </w:rPr>
              <w:t>Paquete de información dirigido a un público no específico, más amplio que los participantes en una operación. La campaña no se realiza necesariamente mediante contactos personales y suele efectuarse a través de varios canales de comunicación.</w:t>
            </w:r>
          </w:p>
        </w:tc>
        <w:tc>
          <w:tcPr>
            <w:tcW w:w="2518" w:type="dxa"/>
            <w:tcBorders>
              <w:top w:val="single" w:sz="4" w:space="0" w:color="auto"/>
              <w:left w:val="single" w:sz="4" w:space="0" w:color="auto"/>
              <w:bottom w:val="single" w:sz="4" w:space="0" w:color="auto"/>
              <w:right w:val="single" w:sz="4" w:space="0" w:color="auto"/>
            </w:tcBorders>
            <w:hideMark/>
          </w:tcPr>
          <w:p w14:paraId="69D53E3E" w14:textId="77777777" w:rsidR="009E247B" w:rsidRPr="00582952" w:rsidRDefault="009E247B">
            <w:pPr>
              <w:rPr>
                <w:rFonts w:cs="Arial"/>
                <w:lang w:val="en-AU"/>
              </w:rPr>
            </w:pPr>
            <w:r w:rsidRPr="00582952">
              <w:rPr>
                <w:rFonts w:cs="Arial"/>
                <w:lang w:val="en-AU"/>
              </w:rPr>
              <w:t>AMIF Indicator Fiche</w:t>
            </w:r>
          </w:p>
          <w:p w14:paraId="34C1B1C8" w14:textId="38A19241" w:rsidR="009E247B" w:rsidRPr="0073548D"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016AF" w14:paraId="5584D8D7"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4E47EC12" w14:textId="77777777" w:rsidR="009E247B" w:rsidRPr="000016AF" w:rsidRDefault="009E247B">
            <w:pPr>
              <w:rPr>
                <w:rFonts w:cs="Arial"/>
                <w:lang w:val="es-ES"/>
              </w:rPr>
            </w:pPr>
            <w:r w:rsidRPr="000016AF">
              <w:rPr>
                <w:rFonts w:cs="Arial"/>
                <w:lang w:val="es-ES"/>
              </w:rPr>
              <w:t xml:space="preserve">Capacidad y competencia adquirida </w:t>
            </w:r>
          </w:p>
        </w:tc>
        <w:tc>
          <w:tcPr>
            <w:tcW w:w="4416" w:type="dxa"/>
            <w:tcBorders>
              <w:top w:val="single" w:sz="4" w:space="0" w:color="auto"/>
              <w:left w:val="single" w:sz="4" w:space="0" w:color="auto"/>
              <w:bottom w:val="single" w:sz="4" w:space="0" w:color="auto"/>
              <w:right w:val="single" w:sz="4" w:space="0" w:color="auto"/>
            </w:tcBorders>
            <w:hideMark/>
          </w:tcPr>
          <w:p w14:paraId="38383B7E" w14:textId="77777777" w:rsidR="009E247B" w:rsidRPr="000016AF" w:rsidRDefault="009E247B">
            <w:pPr>
              <w:rPr>
                <w:rFonts w:cs="Arial"/>
                <w:lang w:val="es-ES"/>
              </w:rPr>
            </w:pPr>
            <w:r w:rsidRPr="000016AF">
              <w:rPr>
                <w:rFonts w:cs="Arial"/>
                <w:lang w:val="es-ES"/>
              </w:rPr>
              <w:t>Aquellas que se han desarrollado o mejorado tras la realización de una actividad de formación.</w:t>
            </w:r>
          </w:p>
        </w:tc>
        <w:tc>
          <w:tcPr>
            <w:tcW w:w="2518" w:type="dxa"/>
            <w:tcBorders>
              <w:top w:val="single" w:sz="4" w:space="0" w:color="auto"/>
              <w:left w:val="single" w:sz="4" w:space="0" w:color="auto"/>
              <w:bottom w:val="single" w:sz="4" w:space="0" w:color="auto"/>
              <w:right w:val="single" w:sz="4" w:space="0" w:color="auto"/>
            </w:tcBorders>
            <w:hideMark/>
          </w:tcPr>
          <w:p w14:paraId="604F1927" w14:textId="77777777" w:rsidR="009E247B" w:rsidRPr="000016AF" w:rsidRDefault="009E247B">
            <w:pPr>
              <w:rPr>
                <w:rFonts w:cs="Arial"/>
                <w:lang w:val="es-ES"/>
              </w:rPr>
            </w:pPr>
            <w:r w:rsidRPr="000016AF">
              <w:rPr>
                <w:rFonts w:cs="Arial"/>
                <w:lang w:val="es-ES"/>
              </w:rPr>
              <w:t>Definición propia.</w:t>
            </w:r>
          </w:p>
        </w:tc>
      </w:tr>
      <w:tr w:rsidR="009E247B" w:rsidRPr="000016AF" w14:paraId="1894CF28"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47F8A9E" w14:textId="77777777" w:rsidR="009E247B" w:rsidRPr="000016AF" w:rsidRDefault="009E247B">
            <w:pPr>
              <w:rPr>
                <w:rFonts w:cs="Arial"/>
                <w:lang w:val="es-ES"/>
              </w:rPr>
            </w:pPr>
            <w:r w:rsidRPr="000016AF">
              <w:rPr>
                <w:rFonts w:cs="Arial"/>
                <w:lang w:val="es-ES"/>
              </w:rPr>
              <w:t>Centro de internamiento</w:t>
            </w:r>
          </w:p>
        </w:tc>
        <w:tc>
          <w:tcPr>
            <w:tcW w:w="4416" w:type="dxa"/>
            <w:tcBorders>
              <w:top w:val="single" w:sz="4" w:space="0" w:color="auto"/>
              <w:left w:val="single" w:sz="4" w:space="0" w:color="auto"/>
              <w:bottom w:val="single" w:sz="4" w:space="0" w:color="auto"/>
              <w:right w:val="single" w:sz="4" w:space="0" w:color="auto"/>
            </w:tcBorders>
            <w:hideMark/>
          </w:tcPr>
          <w:p w14:paraId="0BF5B96D" w14:textId="0816F5CB" w:rsidR="009E247B" w:rsidRPr="000016AF" w:rsidRDefault="009E247B">
            <w:pPr>
              <w:jc w:val="both"/>
              <w:rPr>
                <w:rFonts w:cs="Arial"/>
                <w:lang w:val="es-ES"/>
              </w:rPr>
            </w:pPr>
            <w:r w:rsidRPr="000016AF">
              <w:rPr>
                <w:rFonts w:cs="Arial"/>
                <w:lang w:val="es-ES"/>
              </w:rPr>
              <w:t>Establecimiento público de carácter no penitenciario, dependiente del Ministerio del Interior, destinado a la custodia preventiva y cautelar de extranjeros para garantizar su expulsión, devolución o</w:t>
            </w:r>
            <w:r w:rsidR="008F7E8E">
              <w:rPr>
                <w:rFonts w:cs="Arial"/>
                <w:lang w:val="es-ES"/>
              </w:rPr>
              <w:t xml:space="preserve"> retorno </w:t>
            </w:r>
            <w:r w:rsidRPr="000016AF">
              <w:rPr>
                <w:rFonts w:cs="Arial"/>
                <w:lang w:val="es-ES"/>
              </w:rPr>
              <w:t>por las causas y en los términos previstos en la legislación de extranjería, y de los extranjeros que, habiéndoseles sustituido la pena privativa de libertad por la medida de expulsión, el juez o tribunal competente así lo acuerde en aplicación de lo dispuesto por el artículo 89.6 del Código Penal.</w:t>
            </w:r>
          </w:p>
        </w:tc>
        <w:tc>
          <w:tcPr>
            <w:tcW w:w="2518" w:type="dxa"/>
            <w:tcBorders>
              <w:top w:val="single" w:sz="4" w:space="0" w:color="auto"/>
              <w:left w:val="single" w:sz="4" w:space="0" w:color="auto"/>
              <w:bottom w:val="single" w:sz="4" w:space="0" w:color="auto"/>
              <w:right w:val="single" w:sz="4" w:space="0" w:color="auto"/>
            </w:tcBorders>
            <w:hideMark/>
          </w:tcPr>
          <w:p w14:paraId="6CD73EE5" w14:textId="77777777" w:rsidR="009E247B" w:rsidRPr="000016AF" w:rsidRDefault="009E247B">
            <w:pPr>
              <w:rPr>
                <w:rFonts w:cs="Arial"/>
                <w:lang w:val="es-ES"/>
              </w:rPr>
            </w:pPr>
            <w:r w:rsidRPr="000016AF">
              <w:rPr>
                <w:rFonts w:cs="Arial"/>
                <w:lang w:val="es-ES"/>
              </w:rPr>
              <w:t>Art. 1.2 Real Decreto 162/2014.</w:t>
            </w:r>
          </w:p>
        </w:tc>
      </w:tr>
      <w:tr w:rsidR="009E247B" w:rsidRPr="000A250C" w14:paraId="55D190C4"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1FDBDDAB" w14:textId="77777777" w:rsidR="009E247B" w:rsidRPr="000016AF" w:rsidRDefault="009E247B">
            <w:pPr>
              <w:rPr>
                <w:rFonts w:cs="Arial"/>
                <w:lang w:val="es-ES"/>
              </w:rPr>
            </w:pPr>
            <w:r w:rsidRPr="000016AF">
              <w:rPr>
                <w:rFonts w:cs="Arial"/>
                <w:lang w:val="es-ES"/>
              </w:rPr>
              <w:t xml:space="preserve">Cualificación </w:t>
            </w:r>
          </w:p>
        </w:tc>
        <w:tc>
          <w:tcPr>
            <w:tcW w:w="4416" w:type="dxa"/>
            <w:tcBorders>
              <w:top w:val="single" w:sz="4" w:space="0" w:color="auto"/>
              <w:left w:val="single" w:sz="4" w:space="0" w:color="auto"/>
              <w:bottom w:val="single" w:sz="4" w:space="0" w:color="auto"/>
              <w:right w:val="single" w:sz="4" w:space="0" w:color="auto"/>
            </w:tcBorders>
            <w:hideMark/>
          </w:tcPr>
          <w:p w14:paraId="50D39C12" w14:textId="77777777" w:rsidR="009E247B" w:rsidRPr="000016AF" w:rsidRDefault="009E247B">
            <w:pPr>
              <w:rPr>
                <w:rFonts w:cs="Arial"/>
                <w:lang w:val="es-ES"/>
              </w:rPr>
            </w:pPr>
            <w:r w:rsidRPr="000016AF">
              <w:rPr>
                <w:rFonts w:cs="Arial"/>
                <w:lang w:val="es-ES"/>
              </w:rPr>
              <w:t>Capacidad acreditada por un título de formación, un certificado de competencia o una experiencia profesional.</w:t>
            </w:r>
          </w:p>
        </w:tc>
        <w:tc>
          <w:tcPr>
            <w:tcW w:w="2518" w:type="dxa"/>
            <w:tcBorders>
              <w:top w:val="single" w:sz="4" w:space="0" w:color="auto"/>
              <w:left w:val="single" w:sz="4" w:space="0" w:color="auto"/>
              <w:bottom w:val="single" w:sz="4" w:space="0" w:color="auto"/>
              <w:right w:val="single" w:sz="4" w:space="0" w:color="auto"/>
            </w:tcBorders>
            <w:hideMark/>
          </w:tcPr>
          <w:p w14:paraId="61174C28" w14:textId="77777777" w:rsidR="009E247B" w:rsidRPr="000016AF" w:rsidRDefault="009E247B">
            <w:pPr>
              <w:rPr>
                <w:rFonts w:cs="Arial"/>
                <w:lang w:val="es-ES"/>
              </w:rPr>
            </w:pPr>
            <w:r w:rsidRPr="000016AF">
              <w:rPr>
                <w:rFonts w:cs="Arial"/>
                <w:lang w:val="es-ES"/>
              </w:rPr>
              <w:t>Diccionario panhispánico del español jurídico, 2020.</w:t>
            </w:r>
          </w:p>
        </w:tc>
      </w:tr>
      <w:tr w:rsidR="009E247B" w:rsidRPr="000A250C" w14:paraId="08B18280"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3ABA12B" w14:textId="77777777" w:rsidR="009E247B" w:rsidRPr="000016AF" w:rsidRDefault="009E247B">
            <w:pPr>
              <w:rPr>
                <w:rFonts w:cs="Arial"/>
                <w:lang w:val="es-ES"/>
              </w:rPr>
            </w:pPr>
            <w:r w:rsidRPr="000016AF">
              <w:rPr>
                <w:rFonts w:cs="Arial"/>
                <w:lang w:val="es-ES"/>
              </w:rPr>
              <w:t>Curso de idioma</w:t>
            </w:r>
          </w:p>
        </w:tc>
        <w:tc>
          <w:tcPr>
            <w:tcW w:w="4416" w:type="dxa"/>
            <w:tcBorders>
              <w:top w:val="single" w:sz="4" w:space="0" w:color="auto"/>
              <w:left w:val="single" w:sz="4" w:space="0" w:color="auto"/>
              <w:bottom w:val="single" w:sz="4" w:space="0" w:color="auto"/>
              <w:right w:val="single" w:sz="4" w:space="0" w:color="auto"/>
            </w:tcBorders>
            <w:hideMark/>
          </w:tcPr>
          <w:p w14:paraId="4A52D306" w14:textId="77777777" w:rsidR="009E247B" w:rsidRPr="000016AF" w:rsidRDefault="009E247B">
            <w:pPr>
              <w:rPr>
                <w:rFonts w:cs="Arial"/>
                <w:lang w:val="es-ES"/>
              </w:rPr>
            </w:pPr>
            <w:r w:rsidRPr="000016AF">
              <w:rPr>
                <w:rFonts w:cs="Arial"/>
                <w:lang w:val="es-ES"/>
              </w:rPr>
              <w:t>Aquel curso de formación que ayude a los nacionales de terceros países que residen legalmente y a los solicitantes de protección internacional a aprender la(s) lengua(s) oficial(es) del país de acogida para que puedan participar social y económicamente en la sociedad de acogida.</w:t>
            </w:r>
          </w:p>
        </w:tc>
        <w:tc>
          <w:tcPr>
            <w:tcW w:w="2518" w:type="dxa"/>
            <w:tcBorders>
              <w:top w:val="single" w:sz="4" w:space="0" w:color="auto"/>
              <w:left w:val="single" w:sz="4" w:space="0" w:color="auto"/>
              <w:bottom w:val="single" w:sz="4" w:space="0" w:color="auto"/>
              <w:right w:val="single" w:sz="4" w:space="0" w:color="auto"/>
            </w:tcBorders>
            <w:hideMark/>
          </w:tcPr>
          <w:p w14:paraId="6676764D" w14:textId="77777777" w:rsidR="009E247B" w:rsidRPr="00582952" w:rsidRDefault="009E247B">
            <w:pPr>
              <w:rPr>
                <w:rFonts w:cs="Arial"/>
                <w:lang w:val="en-AU"/>
              </w:rPr>
            </w:pPr>
            <w:r w:rsidRPr="00582952">
              <w:rPr>
                <w:rFonts w:cs="Arial"/>
                <w:lang w:val="en-AU"/>
              </w:rPr>
              <w:t>AMIF Indicator Fiche</w:t>
            </w:r>
          </w:p>
          <w:p w14:paraId="69A5621B" w14:textId="782101CF" w:rsidR="009E247B" w:rsidRPr="0073548D" w:rsidRDefault="009E247B">
            <w:pPr>
              <w:rPr>
                <w:rFonts w:cs="Arial"/>
                <w:lang w:val="en-AU"/>
              </w:rPr>
            </w:pPr>
            <w:r w:rsidRPr="00582952">
              <w:rPr>
                <w:rFonts w:cs="Arial"/>
                <w:lang w:val="en-AU"/>
              </w:rPr>
              <w:t xml:space="preserve">(AMIF Indicator Fiche, </w:t>
            </w:r>
            <w:r w:rsidR="00263423">
              <w:rPr>
                <w:rFonts w:cs="Arial"/>
                <w:lang w:val="en-AU"/>
              </w:rPr>
              <w:t xml:space="preserve">Ref. </w:t>
            </w:r>
            <w:proofErr w:type="gramStart"/>
            <w:r w:rsidR="00263423">
              <w:rPr>
                <w:rFonts w:cs="Arial"/>
                <w:lang w:val="en-AU"/>
              </w:rPr>
              <w:t>Ares(</w:t>
            </w:r>
            <w:proofErr w:type="gramEnd"/>
            <w:r w:rsidR="00263423">
              <w:rPr>
                <w:rFonts w:cs="Arial"/>
                <w:lang w:val="en-AU"/>
              </w:rPr>
              <w:t>2022)1238557 – 18/02/2022).</w:t>
            </w:r>
          </w:p>
        </w:tc>
      </w:tr>
      <w:tr w:rsidR="009E247B" w:rsidRPr="000A250C" w14:paraId="6B6EF820"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1CE81011" w14:textId="77777777" w:rsidR="009E247B" w:rsidRPr="000016AF" w:rsidRDefault="009E247B">
            <w:pPr>
              <w:rPr>
                <w:rFonts w:cs="Arial"/>
                <w:lang w:val="es-ES"/>
              </w:rPr>
            </w:pPr>
            <w:r w:rsidRPr="000016AF">
              <w:rPr>
                <w:rFonts w:cs="Arial"/>
                <w:lang w:val="es-ES"/>
              </w:rPr>
              <w:lastRenderedPageBreak/>
              <w:t>Curso de orientación cívica</w:t>
            </w:r>
          </w:p>
        </w:tc>
        <w:tc>
          <w:tcPr>
            <w:tcW w:w="4416" w:type="dxa"/>
            <w:tcBorders>
              <w:top w:val="single" w:sz="4" w:space="0" w:color="auto"/>
              <w:left w:val="single" w:sz="4" w:space="0" w:color="auto"/>
              <w:bottom w:val="single" w:sz="4" w:space="0" w:color="auto"/>
              <w:right w:val="single" w:sz="4" w:space="0" w:color="auto"/>
            </w:tcBorders>
            <w:hideMark/>
          </w:tcPr>
          <w:p w14:paraId="0DBD0C0F" w14:textId="77777777" w:rsidR="009E247B" w:rsidRPr="000016AF" w:rsidRDefault="009E247B">
            <w:pPr>
              <w:rPr>
                <w:rFonts w:cs="Arial"/>
                <w:lang w:val="es-ES"/>
              </w:rPr>
            </w:pPr>
            <w:r w:rsidRPr="000016AF">
              <w:rPr>
                <w:rFonts w:cs="Arial"/>
                <w:lang w:val="es-ES"/>
              </w:rPr>
              <w:t>Aquel dirigido a los nacionales de terceros países que residen legalmente en un Estado miembro de la UE y a los solicitantes de protección internacional, cuyo objetivo es transmitir el conocimiento y la comprensión de los valores fundamentales del país de acogida, el sistema jurídico, los derechos y deberes de los residentes, el acceso al mercado laboral, así como los conocimientos importantes para la vida cotidiana que son necesarios para participar en la sociedad.</w:t>
            </w:r>
          </w:p>
        </w:tc>
        <w:tc>
          <w:tcPr>
            <w:tcW w:w="2518" w:type="dxa"/>
            <w:tcBorders>
              <w:top w:val="single" w:sz="4" w:space="0" w:color="auto"/>
              <w:left w:val="single" w:sz="4" w:space="0" w:color="auto"/>
              <w:bottom w:val="single" w:sz="4" w:space="0" w:color="auto"/>
              <w:right w:val="single" w:sz="4" w:space="0" w:color="auto"/>
            </w:tcBorders>
            <w:hideMark/>
          </w:tcPr>
          <w:p w14:paraId="2884518D" w14:textId="77777777" w:rsidR="009E247B" w:rsidRPr="00582952" w:rsidRDefault="009E247B">
            <w:pPr>
              <w:rPr>
                <w:rFonts w:cs="Arial"/>
                <w:lang w:val="en-AU"/>
              </w:rPr>
            </w:pPr>
            <w:r w:rsidRPr="00582952">
              <w:rPr>
                <w:rFonts w:cs="Arial"/>
                <w:lang w:val="en-AU"/>
              </w:rPr>
              <w:t>AMIF Indicator Fiche</w:t>
            </w:r>
          </w:p>
          <w:p w14:paraId="7739473D" w14:textId="6DB9069E" w:rsidR="009E247B" w:rsidRPr="0073548D" w:rsidRDefault="009E247B">
            <w:pPr>
              <w:rPr>
                <w:rFonts w:cs="Arial"/>
                <w:lang w:val="en-AU"/>
              </w:rPr>
            </w:pPr>
            <w:r w:rsidRPr="00582952">
              <w:rPr>
                <w:rFonts w:cs="Arial"/>
                <w:lang w:val="en-AU"/>
              </w:rPr>
              <w:t xml:space="preserve">(AMIF Indicator Fiche, </w:t>
            </w:r>
            <w:r w:rsidR="00263423">
              <w:rPr>
                <w:rFonts w:cs="Arial"/>
                <w:lang w:val="en-AU"/>
              </w:rPr>
              <w:t xml:space="preserve">Ref. </w:t>
            </w:r>
            <w:proofErr w:type="gramStart"/>
            <w:r w:rsidR="00263423">
              <w:rPr>
                <w:rFonts w:cs="Arial"/>
                <w:lang w:val="en-AU"/>
              </w:rPr>
              <w:t>Ares(</w:t>
            </w:r>
            <w:proofErr w:type="gramEnd"/>
            <w:r w:rsidR="00263423">
              <w:rPr>
                <w:rFonts w:cs="Arial"/>
                <w:lang w:val="en-AU"/>
              </w:rPr>
              <w:t>2022)1238557 – 18/02/2022).</w:t>
            </w:r>
          </w:p>
        </w:tc>
      </w:tr>
      <w:tr w:rsidR="006A73B3" w:rsidRPr="000A250C" w14:paraId="2758696D" w14:textId="77777777" w:rsidTr="009E247B">
        <w:trPr>
          <w:cantSplit/>
        </w:trPr>
        <w:tc>
          <w:tcPr>
            <w:tcW w:w="1990" w:type="dxa"/>
            <w:tcBorders>
              <w:top w:val="single" w:sz="4" w:space="0" w:color="auto"/>
              <w:left w:val="single" w:sz="4" w:space="0" w:color="auto"/>
              <w:bottom w:val="single" w:sz="4" w:space="0" w:color="auto"/>
              <w:right w:val="single" w:sz="4" w:space="0" w:color="auto"/>
            </w:tcBorders>
          </w:tcPr>
          <w:p w14:paraId="173503AC" w14:textId="667CFE08" w:rsidR="006A73B3" w:rsidRPr="006A73B3" w:rsidRDefault="006A73B3" w:rsidP="006A73B3">
            <w:pPr>
              <w:rPr>
                <w:rFonts w:cs="Arial"/>
                <w:lang w:val="en-AU"/>
              </w:rPr>
            </w:pPr>
            <w:r>
              <w:rPr>
                <w:rFonts w:cs="Arial"/>
                <w:lang w:val="es-ES"/>
              </w:rPr>
              <w:lastRenderedPageBreak/>
              <w:t>Discapacidad</w:t>
            </w:r>
          </w:p>
        </w:tc>
        <w:tc>
          <w:tcPr>
            <w:tcW w:w="4416" w:type="dxa"/>
            <w:tcBorders>
              <w:top w:val="single" w:sz="4" w:space="0" w:color="auto"/>
              <w:left w:val="single" w:sz="4" w:space="0" w:color="auto"/>
              <w:bottom w:val="single" w:sz="4" w:space="0" w:color="auto"/>
              <w:right w:val="single" w:sz="4" w:space="0" w:color="auto"/>
            </w:tcBorders>
          </w:tcPr>
          <w:p w14:paraId="642A56CA" w14:textId="77777777" w:rsidR="006A73B3" w:rsidRPr="00D9659B" w:rsidRDefault="006A73B3" w:rsidP="006A73B3">
            <w:pPr>
              <w:spacing w:before="60" w:after="60"/>
              <w:rPr>
                <w:rFonts w:cs="Arial"/>
                <w:lang w:val="es-ES"/>
              </w:rPr>
            </w:pPr>
            <w:r>
              <w:rPr>
                <w:rFonts w:cs="Arial"/>
                <w:lang w:val="es-ES"/>
              </w:rPr>
              <w:t>Se entienden por discapacidad</w:t>
            </w:r>
            <w:r w:rsidRPr="00D9659B">
              <w:rPr>
                <w:rFonts w:cs="Arial"/>
                <w:lang w:val="es-ES"/>
              </w:rPr>
              <w:t xml:space="preserve"> los siguientes tipos:</w:t>
            </w:r>
          </w:p>
          <w:p w14:paraId="47507413" w14:textId="77777777" w:rsidR="006A73B3" w:rsidRPr="00D9659B" w:rsidRDefault="006A73B3" w:rsidP="006A73B3">
            <w:pPr>
              <w:spacing w:before="60" w:after="60"/>
              <w:rPr>
                <w:rFonts w:cs="Arial"/>
                <w:lang w:val="es-ES"/>
              </w:rPr>
            </w:pPr>
            <w:r w:rsidRPr="00D9659B">
              <w:rPr>
                <w:rFonts w:cs="Arial"/>
                <w:lang w:val="es-ES"/>
              </w:rPr>
              <w:t>1. Discapacidad Física o Motora</w:t>
            </w:r>
          </w:p>
          <w:p w14:paraId="7481DDEE" w14:textId="77777777" w:rsidR="006A73B3" w:rsidRPr="00D9659B" w:rsidRDefault="006A73B3" w:rsidP="006A73B3">
            <w:pPr>
              <w:spacing w:before="60" w:after="60"/>
              <w:rPr>
                <w:rFonts w:cs="Arial"/>
                <w:lang w:val="es-ES"/>
              </w:rPr>
            </w:pPr>
            <w:r w:rsidRPr="00D9659B">
              <w:rPr>
                <w:rFonts w:cs="Arial"/>
                <w:lang w:val="es-ES"/>
              </w:rPr>
              <w:t>La discapacidad física es aquella que ocurre al faltar o quedar muy poco de una parte</w:t>
            </w:r>
            <w:r>
              <w:rPr>
                <w:rFonts w:cs="Arial"/>
                <w:lang w:val="es-ES"/>
              </w:rPr>
              <w:t xml:space="preserve"> </w:t>
            </w:r>
            <w:r w:rsidRPr="00D9659B">
              <w:rPr>
                <w:rFonts w:cs="Arial"/>
                <w:lang w:val="es-ES"/>
              </w:rPr>
              <w:t>del cuerpo, lo cual impide a la persona desenvolverse de la manera convencional.</w:t>
            </w:r>
          </w:p>
          <w:p w14:paraId="352BFC48" w14:textId="77777777" w:rsidR="006A73B3" w:rsidRPr="00D9659B" w:rsidRDefault="006A73B3" w:rsidP="006A73B3">
            <w:pPr>
              <w:spacing w:before="60" w:after="60"/>
              <w:rPr>
                <w:rFonts w:cs="Arial"/>
                <w:lang w:val="es-ES"/>
              </w:rPr>
            </w:pPr>
            <w:r w:rsidRPr="00D9659B">
              <w:rPr>
                <w:rFonts w:cs="Arial"/>
                <w:lang w:val="es-ES"/>
              </w:rPr>
              <w:t>2. Discapacidad Sensorial</w:t>
            </w:r>
          </w:p>
          <w:p w14:paraId="737A23B4" w14:textId="77777777" w:rsidR="006A73B3" w:rsidRPr="00D9659B" w:rsidRDefault="006A73B3" w:rsidP="006A73B3">
            <w:pPr>
              <w:spacing w:before="60" w:after="60"/>
              <w:rPr>
                <w:rFonts w:cs="Arial"/>
                <w:lang w:val="es-ES"/>
              </w:rPr>
            </w:pPr>
            <w:r w:rsidRPr="00D9659B">
              <w:rPr>
                <w:rFonts w:cs="Arial"/>
                <w:lang w:val="es-ES"/>
              </w:rPr>
              <w:t>Corresponde al tipo de personas que han perdido su capacidad visual o auditiva y</w:t>
            </w:r>
            <w:r>
              <w:rPr>
                <w:rFonts w:cs="Arial"/>
                <w:lang w:val="es-ES"/>
              </w:rPr>
              <w:t xml:space="preserve"> </w:t>
            </w:r>
            <w:r w:rsidRPr="00D9659B">
              <w:rPr>
                <w:rFonts w:cs="Arial"/>
                <w:lang w:val="es-ES"/>
              </w:rPr>
              <w:t>quienes presentan problemas al momento de comunicarse o utilizar el lenguaje.</w:t>
            </w:r>
          </w:p>
          <w:p w14:paraId="2FB8B085" w14:textId="77777777" w:rsidR="006A73B3" w:rsidRPr="00D9659B" w:rsidRDefault="006A73B3" w:rsidP="006A73B3">
            <w:pPr>
              <w:spacing w:before="60" w:after="60"/>
              <w:rPr>
                <w:rFonts w:cs="Arial"/>
                <w:lang w:val="es-ES"/>
              </w:rPr>
            </w:pPr>
            <w:r w:rsidRPr="00D9659B">
              <w:rPr>
                <w:rFonts w:cs="Arial"/>
                <w:lang w:val="es-ES"/>
              </w:rPr>
              <w:t>3. Discapacidad intelectual</w:t>
            </w:r>
          </w:p>
          <w:p w14:paraId="5B58A92B" w14:textId="77777777" w:rsidR="006A73B3" w:rsidRPr="00D9659B" w:rsidRDefault="006A73B3" w:rsidP="006A73B3">
            <w:pPr>
              <w:spacing w:before="60" w:after="60"/>
              <w:rPr>
                <w:rFonts w:cs="Arial"/>
                <w:lang w:val="es-ES"/>
              </w:rPr>
            </w:pPr>
            <w:r w:rsidRPr="00D9659B">
              <w:rPr>
                <w:rFonts w:cs="Arial"/>
                <w:lang w:val="es-ES"/>
              </w:rPr>
              <w:t>La discapacidad intelectual es aquella que presenta una serie de limitaciones en las</w:t>
            </w:r>
          </w:p>
          <w:p w14:paraId="735EC211" w14:textId="77777777" w:rsidR="006A73B3" w:rsidRPr="00D9659B" w:rsidRDefault="006A73B3" w:rsidP="006A73B3">
            <w:pPr>
              <w:spacing w:before="60" w:after="60"/>
              <w:rPr>
                <w:rFonts w:cs="Arial"/>
                <w:lang w:val="es-ES"/>
              </w:rPr>
            </w:pPr>
            <w:r w:rsidRPr="00D9659B">
              <w:rPr>
                <w:rFonts w:cs="Arial"/>
                <w:lang w:val="es-ES"/>
              </w:rPr>
              <w:t>habilidades diarias que una persona aprende y le sirven para responder a distintas</w:t>
            </w:r>
            <w:r>
              <w:rPr>
                <w:rFonts w:cs="Arial"/>
                <w:lang w:val="es-ES"/>
              </w:rPr>
              <w:t xml:space="preserve"> </w:t>
            </w:r>
            <w:r w:rsidRPr="00D9659B">
              <w:rPr>
                <w:rFonts w:cs="Arial"/>
                <w:lang w:val="es-ES"/>
              </w:rPr>
              <w:t>situaciones en la vida.</w:t>
            </w:r>
            <w:r>
              <w:rPr>
                <w:rFonts w:cs="Arial"/>
                <w:lang w:val="es-ES"/>
              </w:rPr>
              <w:t xml:space="preserve"> </w:t>
            </w:r>
            <w:r w:rsidRPr="00D9659B">
              <w:rPr>
                <w:rFonts w:cs="Arial"/>
                <w:lang w:val="es-ES"/>
              </w:rPr>
              <w:t>Se hace más fácil de llevar si su entorno ayuda a hacerles más sencillas las cosas. A las</w:t>
            </w:r>
            <w:r>
              <w:rPr>
                <w:rFonts w:cs="Arial"/>
                <w:lang w:val="es-ES"/>
              </w:rPr>
              <w:t xml:space="preserve"> </w:t>
            </w:r>
            <w:r w:rsidRPr="00D9659B">
              <w:rPr>
                <w:rFonts w:cs="Arial"/>
                <w:lang w:val="es-ES"/>
              </w:rPr>
              <w:t>personas con discapacidad intelectual se les hace más complicado aprender,</w:t>
            </w:r>
            <w:r>
              <w:rPr>
                <w:rFonts w:cs="Arial"/>
                <w:lang w:val="es-ES"/>
              </w:rPr>
              <w:t xml:space="preserve"> </w:t>
            </w:r>
            <w:r w:rsidRPr="00D9659B">
              <w:rPr>
                <w:rFonts w:cs="Arial"/>
                <w:lang w:val="es-ES"/>
              </w:rPr>
              <w:t>comprender y comunicarse.</w:t>
            </w:r>
            <w:r>
              <w:rPr>
                <w:rFonts w:cs="Arial"/>
                <w:lang w:val="es-ES"/>
              </w:rPr>
              <w:t xml:space="preserve"> </w:t>
            </w:r>
            <w:r w:rsidRPr="00D9659B">
              <w:rPr>
                <w:rFonts w:cs="Arial"/>
                <w:lang w:val="es-ES"/>
              </w:rPr>
              <w:t>Es irreversible, es decir, dura para toda la vida y no solo es un impacto que sufre el</w:t>
            </w:r>
            <w:r>
              <w:rPr>
                <w:rFonts w:cs="Arial"/>
                <w:lang w:val="es-ES"/>
              </w:rPr>
              <w:t xml:space="preserve"> </w:t>
            </w:r>
            <w:r w:rsidRPr="00D9659B">
              <w:rPr>
                <w:rFonts w:cs="Arial"/>
                <w:lang w:val="es-ES"/>
              </w:rPr>
              <w:t>individuo, sino también es un reto muy fuerte para toda su familia.</w:t>
            </w:r>
            <w:r>
              <w:rPr>
                <w:rFonts w:cs="Arial"/>
                <w:lang w:val="es-ES"/>
              </w:rPr>
              <w:t xml:space="preserve"> </w:t>
            </w:r>
            <w:r w:rsidRPr="00D9659B">
              <w:rPr>
                <w:rFonts w:cs="Arial"/>
                <w:lang w:val="es-ES"/>
              </w:rPr>
              <w:t>Es importante decir que la discapacidad intelectual no quiere decir que las personas</w:t>
            </w:r>
            <w:r>
              <w:rPr>
                <w:rFonts w:cs="Arial"/>
                <w:lang w:val="es-ES"/>
              </w:rPr>
              <w:t xml:space="preserve"> </w:t>
            </w:r>
            <w:r w:rsidRPr="00D9659B">
              <w:rPr>
                <w:rFonts w:cs="Arial"/>
                <w:lang w:val="es-ES"/>
              </w:rPr>
              <w:t>sean enfermas, son personas como nosotros con muchos sueños en la vida y ganas de</w:t>
            </w:r>
            <w:r>
              <w:rPr>
                <w:rFonts w:cs="Arial"/>
                <w:lang w:val="es-ES"/>
              </w:rPr>
              <w:t xml:space="preserve"> </w:t>
            </w:r>
            <w:r w:rsidRPr="00D9659B">
              <w:rPr>
                <w:rFonts w:cs="Arial"/>
                <w:lang w:val="es-ES"/>
              </w:rPr>
              <w:t>alcanzarlos, si se reúnen las condiciones adecuadas pueden progresar y lograr</w:t>
            </w:r>
            <w:r>
              <w:rPr>
                <w:rFonts w:cs="Arial"/>
                <w:lang w:val="es-ES"/>
              </w:rPr>
              <w:t xml:space="preserve"> </w:t>
            </w:r>
            <w:r w:rsidRPr="00D9659B">
              <w:rPr>
                <w:rFonts w:cs="Arial"/>
                <w:lang w:val="es-ES"/>
              </w:rPr>
              <w:t>objetivos.</w:t>
            </w:r>
          </w:p>
          <w:p w14:paraId="1547F226" w14:textId="77777777" w:rsidR="006A73B3" w:rsidRPr="00D9659B" w:rsidRDefault="006A73B3" w:rsidP="006A73B3">
            <w:pPr>
              <w:spacing w:before="60" w:after="60"/>
              <w:rPr>
                <w:rFonts w:cs="Arial"/>
                <w:lang w:val="es-ES"/>
              </w:rPr>
            </w:pPr>
            <w:r w:rsidRPr="00D9659B">
              <w:rPr>
                <w:rFonts w:cs="Arial"/>
                <w:lang w:val="es-ES"/>
              </w:rPr>
              <w:t>4. Discapacidad Psíquica</w:t>
            </w:r>
          </w:p>
          <w:p w14:paraId="04216BE8" w14:textId="77777777" w:rsidR="006A73B3" w:rsidRPr="00D9659B" w:rsidRDefault="006A73B3" w:rsidP="006A73B3">
            <w:pPr>
              <w:spacing w:before="60" w:after="60"/>
              <w:rPr>
                <w:rFonts w:cs="Arial"/>
                <w:lang w:val="es-ES"/>
              </w:rPr>
            </w:pPr>
            <w:r w:rsidRPr="00D9659B">
              <w:rPr>
                <w:rFonts w:cs="Arial"/>
                <w:lang w:val="es-ES"/>
              </w:rPr>
              <w:t>La discapacidad psíquica es aquella que está directamente relacionada con el</w:t>
            </w:r>
          </w:p>
          <w:p w14:paraId="67DA8A84" w14:textId="11355D6E" w:rsidR="006A73B3" w:rsidRPr="00EA7D38" w:rsidRDefault="006A73B3" w:rsidP="006A73B3">
            <w:pPr>
              <w:rPr>
                <w:rFonts w:cs="Arial"/>
                <w:lang w:val="es-ES"/>
              </w:rPr>
            </w:pPr>
            <w:r w:rsidRPr="00D9659B">
              <w:rPr>
                <w:rFonts w:cs="Arial"/>
                <w:lang w:val="es-ES"/>
              </w:rPr>
              <w:t>comportamiento del individuo.</w:t>
            </w:r>
            <w:r>
              <w:rPr>
                <w:rFonts w:cs="Arial"/>
                <w:lang w:val="es-ES"/>
              </w:rPr>
              <w:t xml:space="preserve"> </w:t>
            </w:r>
            <w:r w:rsidRPr="00D9659B">
              <w:rPr>
                <w:rFonts w:cs="Arial"/>
                <w:lang w:val="es-ES"/>
              </w:rPr>
              <w:t>Se dice que una persona tiene discapacidad psíquica cuando presenta trastornos en el</w:t>
            </w:r>
            <w:r>
              <w:rPr>
                <w:rFonts w:cs="Arial"/>
                <w:lang w:val="es-ES"/>
              </w:rPr>
              <w:t xml:space="preserve"> </w:t>
            </w:r>
            <w:r w:rsidRPr="00D9659B">
              <w:rPr>
                <w:rFonts w:cs="Arial"/>
                <w:lang w:val="es-ES"/>
              </w:rPr>
              <w:t>comportamiento adaptativo.</w:t>
            </w:r>
            <w:r>
              <w:rPr>
                <w:rFonts w:cs="Arial"/>
                <w:lang w:val="es-ES"/>
              </w:rPr>
              <w:t xml:space="preserve"> </w:t>
            </w:r>
            <w:r w:rsidRPr="00D9659B">
              <w:rPr>
                <w:rFonts w:cs="Arial"/>
                <w:lang w:val="es-ES"/>
              </w:rPr>
              <w:t>Este tipo de discapacidad se podría incluir en categoría otros ya que tienen que ver con</w:t>
            </w:r>
            <w:r>
              <w:rPr>
                <w:rFonts w:cs="Arial"/>
                <w:lang w:val="es-ES"/>
              </w:rPr>
              <w:t xml:space="preserve"> </w:t>
            </w:r>
            <w:r w:rsidRPr="00D9659B">
              <w:rPr>
                <w:rFonts w:cs="Arial"/>
                <w:lang w:val="es-ES"/>
              </w:rPr>
              <w:t>enfermedades mentales.</w:t>
            </w:r>
            <w:r>
              <w:rPr>
                <w:rFonts w:cs="Arial"/>
                <w:lang w:val="es-ES"/>
              </w:rPr>
              <w:t xml:space="preserve"> </w:t>
            </w:r>
            <w:r w:rsidRPr="00D9659B">
              <w:rPr>
                <w:rFonts w:cs="Arial"/>
                <w:lang w:val="es-ES"/>
              </w:rPr>
              <w:t>Probables causas:</w:t>
            </w:r>
            <w:r>
              <w:rPr>
                <w:rFonts w:cs="Arial"/>
                <w:lang w:val="es-ES"/>
              </w:rPr>
              <w:t xml:space="preserve"> </w:t>
            </w:r>
            <w:r w:rsidRPr="00D9659B">
              <w:rPr>
                <w:rFonts w:cs="Arial"/>
                <w:lang w:val="es-ES"/>
              </w:rPr>
              <w:t xml:space="preserve">Sus causas </w:t>
            </w:r>
            <w:r w:rsidRPr="00D9659B">
              <w:rPr>
                <w:rFonts w:cs="Arial"/>
                <w:lang w:val="es-ES"/>
              </w:rPr>
              <w:lastRenderedPageBreak/>
              <w:t xml:space="preserve">son la depresión mayor, la esquizofrenia, la bipolaridad, </w:t>
            </w:r>
            <w:proofErr w:type="spellStart"/>
            <w:r w:rsidRPr="00D9659B">
              <w:rPr>
                <w:rFonts w:cs="Arial"/>
                <w:lang w:val="es-ES"/>
              </w:rPr>
              <w:t>transtornos</w:t>
            </w:r>
            <w:proofErr w:type="spellEnd"/>
            <w:r w:rsidRPr="00D9659B">
              <w:rPr>
                <w:rFonts w:cs="Arial"/>
                <w:lang w:val="es-ES"/>
              </w:rPr>
              <w:t xml:space="preserve"> de</w:t>
            </w:r>
            <w:r>
              <w:rPr>
                <w:rFonts w:cs="Arial"/>
                <w:lang w:val="es-ES"/>
              </w:rPr>
              <w:t xml:space="preserve"> </w:t>
            </w:r>
            <w:r w:rsidRPr="00D9659B">
              <w:rPr>
                <w:rFonts w:cs="Arial"/>
                <w:lang w:val="es-ES"/>
              </w:rPr>
              <w:t xml:space="preserve">pánico, </w:t>
            </w:r>
            <w:proofErr w:type="spellStart"/>
            <w:r w:rsidRPr="00D9659B">
              <w:rPr>
                <w:rFonts w:cs="Arial"/>
                <w:lang w:val="es-ES"/>
              </w:rPr>
              <w:t>transtorno</w:t>
            </w:r>
            <w:proofErr w:type="spellEnd"/>
            <w:r w:rsidRPr="00D9659B">
              <w:rPr>
                <w:rFonts w:cs="Arial"/>
                <w:lang w:val="es-ES"/>
              </w:rPr>
              <w:t xml:space="preserve"> </w:t>
            </w:r>
            <w:proofErr w:type="spellStart"/>
            <w:r w:rsidRPr="00D9659B">
              <w:rPr>
                <w:rFonts w:cs="Arial"/>
                <w:lang w:val="es-ES"/>
              </w:rPr>
              <w:t>esquizomorfo</w:t>
            </w:r>
            <w:proofErr w:type="spellEnd"/>
            <w:r w:rsidRPr="00D9659B">
              <w:rPr>
                <w:rFonts w:cs="Arial"/>
                <w:lang w:val="es-ES"/>
              </w:rPr>
              <w:t xml:space="preserve">, </w:t>
            </w:r>
            <w:proofErr w:type="spellStart"/>
            <w:r w:rsidRPr="00D9659B">
              <w:rPr>
                <w:rFonts w:cs="Arial"/>
                <w:lang w:val="es-ES"/>
              </w:rPr>
              <w:t>sindrome</w:t>
            </w:r>
            <w:proofErr w:type="spellEnd"/>
            <w:r w:rsidRPr="00D9659B">
              <w:rPr>
                <w:rFonts w:cs="Arial"/>
                <w:lang w:val="es-ES"/>
              </w:rPr>
              <w:t xml:space="preserve"> orgánico, autismo y </w:t>
            </w:r>
            <w:proofErr w:type="spellStart"/>
            <w:r w:rsidRPr="00D9659B">
              <w:rPr>
                <w:rFonts w:cs="Arial"/>
                <w:lang w:val="es-ES"/>
              </w:rPr>
              <w:t>sindrome</w:t>
            </w:r>
            <w:proofErr w:type="spellEnd"/>
            <w:r w:rsidRPr="00D9659B">
              <w:rPr>
                <w:rFonts w:cs="Arial"/>
                <w:lang w:val="es-ES"/>
              </w:rPr>
              <w:t xml:space="preserve"> de Asperger</w:t>
            </w:r>
            <w:r>
              <w:rPr>
                <w:rFonts w:cs="Arial"/>
                <w:lang w:val="es-ES"/>
              </w:rPr>
              <w:t>.</w:t>
            </w:r>
          </w:p>
        </w:tc>
        <w:tc>
          <w:tcPr>
            <w:tcW w:w="2518" w:type="dxa"/>
            <w:tcBorders>
              <w:top w:val="single" w:sz="4" w:space="0" w:color="auto"/>
              <w:left w:val="single" w:sz="4" w:space="0" w:color="auto"/>
              <w:bottom w:val="single" w:sz="4" w:space="0" w:color="auto"/>
              <w:right w:val="single" w:sz="4" w:space="0" w:color="auto"/>
            </w:tcBorders>
          </w:tcPr>
          <w:p w14:paraId="474DF6A3" w14:textId="77777777" w:rsidR="006A73B3" w:rsidRPr="00C2237C" w:rsidRDefault="006A73B3" w:rsidP="006A73B3">
            <w:pPr>
              <w:spacing w:before="60" w:after="60"/>
              <w:rPr>
                <w:rFonts w:cs="Arial"/>
                <w:lang w:val="es-ES"/>
              </w:rPr>
            </w:pPr>
            <w:r w:rsidRPr="00C2237C">
              <w:rPr>
                <w:rFonts w:cs="Arial"/>
                <w:lang w:val="es-ES"/>
              </w:rPr>
              <w:lastRenderedPageBreak/>
              <w:t>Clasificación</w:t>
            </w:r>
          </w:p>
          <w:p w14:paraId="14FBB577" w14:textId="77777777" w:rsidR="006A73B3" w:rsidRPr="00C2237C" w:rsidRDefault="006A73B3" w:rsidP="006A73B3">
            <w:pPr>
              <w:spacing w:before="60" w:after="60"/>
              <w:rPr>
                <w:rFonts w:cs="Arial"/>
                <w:lang w:val="es-ES"/>
              </w:rPr>
            </w:pPr>
            <w:r w:rsidRPr="00C2237C">
              <w:rPr>
                <w:rFonts w:cs="Arial"/>
                <w:lang w:val="es-ES"/>
              </w:rPr>
              <w:t>Internacional del</w:t>
            </w:r>
          </w:p>
          <w:p w14:paraId="176D5F70" w14:textId="77777777" w:rsidR="006A73B3" w:rsidRPr="00C2237C" w:rsidRDefault="006A73B3" w:rsidP="006A73B3">
            <w:pPr>
              <w:spacing w:before="60" w:after="60"/>
              <w:rPr>
                <w:rFonts w:cs="Arial"/>
                <w:lang w:val="es-ES"/>
              </w:rPr>
            </w:pPr>
            <w:r w:rsidRPr="00C2237C">
              <w:rPr>
                <w:rFonts w:cs="Arial"/>
                <w:lang w:val="es-ES"/>
              </w:rPr>
              <w:t>Funcionamiento,</w:t>
            </w:r>
          </w:p>
          <w:p w14:paraId="59F310EC" w14:textId="77777777" w:rsidR="006A73B3" w:rsidRPr="00C2237C" w:rsidRDefault="006A73B3" w:rsidP="006A73B3">
            <w:pPr>
              <w:spacing w:before="60" w:after="60"/>
              <w:rPr>
                <w:rFonts w:cs="Arial"/>
                <w:lang w:val="es-ES"/>
              </w:rPr>
            </w:pPr>
            <w:r w:rsidRPr="00C2237C">
              <w:rPr>
                <w:rFonts w:cs="Arial"/>
                <w:lang w:val="es-ES"/>
              </w:rPr>
              <w:t>de la Discapacidad</w:t>
            </w:r>
          </w:p>
          <w:p w14:paraId="5CDD0147" w14:textId="77777777" w:rsidR="006A73B3" w:rsidRPr="00C2237C" w:rsidRDefault="006A73B3" w:rsidP="006A73B3">
            <w:pPr>
              <w:spacing w:before="60" w:after="60"/>
              <w:rPr>
                <w:rFonts w:cs="Arial"/>
                <w:lang w:val="es-ES"/>
              </w:rPr>
            </w:pPr>
            <w:r w:rsidRPr="00C2237C">
              <w:rPr>
                <w:rFonts w:cs="Arial"/>
                <w:lang w:val="es-ES"/>
              </w:rPr>
              <w:t>y de la Salud</w:t>
            </w:r>
            <w:r>
              <w:rPr>
                <w:rFonts w:cs="Arial"/>
                <w:lang w:val="es-ES"/>
              </w:rPr>
              <w:t xml:space="preserve"> (</w:t>
            </w:r>
            <w:r w:rsidRPr="00C2237C">
              <w:rPr>
                <w:rFonts w:cs="Arial"/>
                <w:lang w:val="es-ES"/>
              </w:rPr>
              <w:t>Versión abreviada</w:t>
            </w:r>
            <w:r>
              <w:rPr>
                <w:rFonts w:cs="Arial"/>
                <w:lang w:val="es-ES"/>
              </w:rPr>
              <w:t>),</w:t>
            </w:r>
          </w:p>
          <w:p w14:paraId="4600CA29" w14:textId="2586EEF1" w:rsidR="006A73B3" w:rsidRPr="006A73B3" w:rsidRDefault="006A73B3" w:rsidP="006A73B3">
            <w:pPr>
              <w:rPr>
                <w:rFonts w:cs="Arial"/>
                <w:lang w:val="es-ES"/>
              </w:rPr>
            </w:pPr>
            <w:r w:rsidRPr="00C2237C">
              <w:rPr>
                <w:rFonts w:cs="Arial"/>
                <w:lang w:val="es-ES"/>
              </w:rPr>
              <w:t>Organización</w:t>
            </w:r>
            <w:r>
              <w:rPr>
                <w:rFonts w:cs="Arial"/>
                <w:lang w:val="es-ES"/>
              </w:rPr>
              <w:t xml:space="preserve"> Mundial de la Salud</w:t>
            </w:r>
          </w:p>
        </w:tc>
      </w:tr>
      <w:tr w:rsidR="009E247B" w:rsidRPr="000A250C" w14:paraId="3316BE5C"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1B31E554" w14:textId="77777777" w:rsidR="009E247B" w:rsidRPr="000016AF" w:rsidRDefault="009E247B">
            <w:pPr>
              <w:rPr>
                <w:rFonts w:cs="Arial"/>
                <w:lang w:val="es-ES"/>
              </w:rPr>
            </w:pPr>
            <w:r w:rsidRPr="000016AF">
              <w:rPr>
                <w:rFonts w:cs="Arial"/>
                <w:lang w:val="es-ES"/>
              </w:rPr>
              <w:t>Equipo</w:t>
            </w:r>
          </w:p>
        </w:tc>
        <w:tc>
          <w:tcPr>
            <w:tcW w:w="4416" w:type="dxa"/>
            <w:tcBorders>
              <w:top w:val="single" w:sz="4" w:space="0" w:color="auto"/>
              <w:left w:val="single" w:sz="4" w:space="0" w:color="auto"/>
              <w:bottom w:val="single" w:sz="4" w:space="0" w:color="auto"/>
              <w:right w:val="single" w:sz="4" w:space="0" w:color="auto"/>
            </w:tcBorders>
            <w:hideMark/>
          </w:tcPr>
          <w:p w14:paraId="64378B2D" w14:textId="77777777" w:rsidR="009E247B" w:rsidRPr="000016AF" w:rsidRDefault="009E247B">
            <w:pPr>
              <w:jc w:val="both"/>
              <w:rPr>
                <w:rFonts w:cs="Arial"/>
                <w:lang w:val="es-ES"/>
              </w:rPr>
            </w:pPr>
            <w:r w:rsidRPr="000016AF">
              <w:rPr>
                <w:rFonts w:cs="Arial"/>
                <w:lang w:val="es-ES"/>
              </w:rPr>
              <w:t>Por equipo se entiende cualquier activo tangible al que se le asigna un número de inventario según las normas nacionales.</w:t>
            </w:r>
          </w:p>
        </w:tc>
        <w:tc>
          <w:tcPr>
            <w:tcW w:w="2518" w:type="dxa"/>
            <w:tcBorders>
              <w:top w:val="single" w:sz="4" w:space="0" w:color="auto"/>
              <w:left w:val="single" w:sz="4" w:space="0" w:color="auto"/>
              <w:bottom w:val="single" w:sz="4" w:space="0" w:color="auto"/>
              <w:right w:val="single" w:sz="4" w:space="0" w:color="auto"/>
            </w:tcBorders>
            <w:hideMark/>
          </w:tcPr>
          <w:p w14:paraId="41E31803" w14:textId="77777777" w:rsidR="009E247B" w:rsidRPr="00582952" w:rsidRDefault="009E247B">
            <w:pPr>
              <w:rPr>
                <w:rFonts w:cs="Arial"/>
                <w:lang w:val="en-AU"/>
              </w:rPr>
            </w:pPr>
            <w:r w:rsidRPr="00582952">
              <w:rPr>
                <w:rFonts w:cs="Arial"/>
                <w:lang w:val="en-AU"/>
              </w:rPr>
              <w:t>AMIF Indicator Fiche</w:t>
            </w:r>
          </w:p>
          <w:p w14:paraId="401CFCB0" w14:textId="1E9CC586" w:rsidR="009E247B" w:rsidRPr="0073548D"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A250C" w14:paraId="33AB8DA2"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0A91A1C6" w14:textId="77777777" w:rsidR="009E247B" w:rsidRPr="000016AF" w:rsidRDefault="009E247B">
            <w:pPr>
              <w:rPr>
                <w:rFonts w:cs="Arial"/>
                <w:lang w:val="es-ES"/>
              </w:rPr>
            </w:pPr>
            <w:r w:rsidRPr="000016AF">
              <w:rPr>
                <w:rFonts w:cs="Arial"/>
                <w:lang w:val="es-ES"/>
              </w:rPr>
              <w:t>Estatuto de residente de larga duración</w:t>
            </w:r>
          </w:p>
        </w:tc>
        <w:tc>
          <w:tcPr>
            <w:tcW w:w="4416" w:type="dxa"/>
            <w:tcBorders>
              <w:top w:val="single" w:sz="4" w:space="0" w:color="auto"/>
              <w:left w:val="single" w:sz="4" w:space="0" w:color="auto"/>
              <w:bottom w:val="single" w:sz="4" w:space="0" w:color="auto"/>
              <w:right w:val="single" w:sz="4" w:space="0" w:color="auto"/>
            </w:tcBorders>
            <w:hideMark/>
          </w:tcPr>
          <w:p w14:paraId="0FF7CDF3" w14:textId="77777777" w:rsidR="009E247B" w:rsidRPr="000016AF" w:rsidRDefault="009E247B">
            <w:pPr>
              <w:rPr>
                <w:rFonts w:cs="Arial"/>
                <w:lang w:val="es-ES"/>
              </w:rPr>
            </w:pPr>
            <w:r w:rsidRPr="000016AF">
              <w:rPr>
                <w:rFonts w:cs="Arial"/>
                <w:lang w:val="es-ES"/>
              </w:rPr>
              <w:t>Situación que autoriza a residir y trabajar en España indefinidamente, en las mismas condiciones que los españoles.</w:t>
            </w:r>
          </w:p>
        </w:tc>
        <w:tc>
          <w:tcPr>
            <w:tcW w:w="2518" w:type="dxa"/>
            <w:tcBorders>
              <w:top w:val="single" w:sz="4" w:space="0" w:color="auto"/>
              <w:left w:val="single" w:sz="4" w:space="0" w:color="auto"/>
              <w:bottom w:val="single" w:sz="4" w:space="0" w:color="auto"/>
              <w:right w:val="single" w:sz="4" w:space="0" w:color="auto"/>
            </w:tcBorders>
            <w:hideMark/>
          </w:tcPr>
          <w:p w14:paraId="30A48C6A" w14:textId="77777777" w:rsidR="009E247B" w:rsidRPr="000016AF" w:rsidRDefault="009E247B">
            <w:pPr>
              <w:rPr>
                <w:rFonts w:cs="Arial"/>
                <w:lang w:val="es-ES"/>
              </w:rPr>
            </w:pPr>
            <w:r w:rsidRPr="000016AF">
              <w:rPr>
                <w:rFonts w:cs="Arial"/>
                <w:lang w:val="es-ES"/>
              </w:rPr>
              <w:t>Art 32 Ley Orgánica 4/2000, de 11 de enero, sobre derechos y libertades de los extranjeros en España y su integración social.</w:t>
            </w:r>
          </w:p>
        </w:tc>
      </w:tr>
      <w:tr w:rsidR="009E247B" w:rsidRPr="000A250C" w14:paraId="357F3098"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5765527F" w14:textId="77777777" w:rsidR="009E247B" w:rsidRPr="000016AF" w:rsidRDefault="009E247B">
            <w:pPr>
              <w:rPr>
                <w:rFonts w:cs="Arial"/>
                <w:lang w:val="es-ES"/>
              </w:rPr>
            </w:pPr>
            <w:r w:rsidRPr="000016AF">
              <w:rPr>
                <w:rFonts w:cs="Arial"/>
                <w:lang w:val="es-ES"/>
              </w:rPr>
              <w:t>Expulsado</w:t>
            </w:r>
          </w:p>
        </w:tc>
        <w:tc>
          <w:tcPr>
            <w:tcW w:w="4416" w:type="dxa"/>
            <w:tcBorders>
              <w:top w:val="single" w:sz="4" w:space="0" w:color="auto"/>
              <w:left w:val="single" w:sz="4" w:space="0" w:color="auto"/>
              <w:bottom w:val="single" w:sz="4" w:space="0" w:color="auto"/>
              <w:right w:val="single" w:sz="4" w:space="0" w:color="auto"/>
            </w:tcBorders>
            <w:hideMark/>
          </w:tcPr>
          <w:p w14:paraId="651AB963" w14:textId="5C153A3C" w:rsidR="009E247B" w:rsidRPr="000016AF" w:rsidRDefault="009E247B">
            <w:pPr>
              <w:rPr>
                <w:rFonts w:cs="Arial"/>
                <w:lang w:val="es-ES"/>
              </w:rPr>
            </w:pPr>
            <w:r w:rsidRPr="000016AF">
              <w:rPr>
                <w:rFonts w:cs="Arial"/>
                <w:lang w:val="es-ES"/>
              </w:rPr>
              <w:t xml:space="preserve">Persona sobre la que se ejecuta el cumplimiento de la obligación de retorno de los nacionales de terceros países en situación irregular, es decir, el transporte físico fuera del </w:t>
            </w:r>
            <w:r w:rsidR="008F7E8E">
              <w:rPr>
                <w:rFonts w:cs="Arial"/>
                <w:lang w:val="es-ES"/>
              </w:rPr>
              <w:t>territorio del e</w:t>
            </w:r>
            <w:r w:rsidRPr="000016AF">
              <w:rPr>
                <w:rFonts w:cs="Arial"/>
                <w:lang w:val="es-ES"/>
              </w:rPr>
              <w:t>stado miembro de la UE.</w:t>
            </w:r>
          </w:p>
        </w:tc>
        <w:tc>
          <w:tcPr>
            <w:tcW w:w="2518" w:type="dxa"/>
            <w:tcBorders>
              <w:top w:val="single" w:sz="4" w:space="0" w:color="auto"/>
              <w:left w:val="single" w:sz="4" w:space="0" w:color="auto"/>
              <w:bottom w:val="single" w:sz="4" w:space="0" w:color="auto"/>
              <w:right w:val="single" w:sz="4" w:space="0" w:color="auto"/>
            </w:tcBorders>
            <w:hideMark/>
          </w:tcPr>
          <w:p w14:paraId="4D46F058" w14:textId="77777777" w:rsidR="009E247B" w:rsidRPr="000016AF" w:rsidRDefault="009E247B">
            <w:pPr>
              <w:rPr>
                <w:rFonts w:cs="Arial"/>
                <w:lang w:val="es-ES"/>
              </w:rPr>
            </w:pPr>
            <w:r w:rsidRPr="000016AF">
              <w:rPr>
                <w:rFonts w:cs="Arial"/>
                <w:lang w:val="es-ES"/>
              </w:rPr>
              <w:t>Art. 3(5) de la Directiva 2008/115/CE (Directiva de Retorno)</w:t>
            </w:r>
          </w:p>
        </w:tc>
      </w:tr>
      <w:tr w:rsidR="009E247B" w:rsidRPr="000016AF" w14:paraId="7896BBA7"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B77FBC7" w14:textId="77777777" w:rsidR="009E247B" w:rsidRPr="000016AF" w:rsidRDefault="009E247B">
            <w:pPr>
              <w:rPr>
                <w:rFonts w:cs="Arial"/>
                <w:lang w:val="es-ES"/>
              </w:rPr>
            </w:pPr>
            <w:r w:rsidRPr="000016AF">
              <w:rPr>
                <w:rFonts w:cs="Arial"/>
                <w:lang w:val="es-ES"/>
              </w:rPr>
              <w:t>Familia</w:t>
            </w:r>
          </w:p>
        </w:tc>
        <w:tc>
          <w:tcPr>
            <w:tcW w:w="4416" w:type="dxa"/>
            <w:tcBorders>
              <w:top w:val="single" w:sz="4" w:space="0" w:color="auto"/>
              <w:left w:val="single" w:sz="4" w:space="0" w:color="auto"/>
              <w:bottom w:val="single" w:sz="4" w:space="0" w:color="auto"/>
              <w:right w:val="single" w:sz="4" w:space="0" w:color="auto"/>
            </w:tcBorders>
            <w:hideMark/>
          </w:tcPr>
          <w:p w14:paraId="7502E2D9" w14:textId="77777777" w:rsidR="009E247B" w:rsidRPr="000016AF" w:rsidRDefault="009E247B">
            <w:pPr>
              <w:rPr>
                <w:rFonts w:cs="Arial"/>
                <w:lang w:val="es-ES"/>
              </w:rPr>
            </w:pPr>
            <w:r w:rsidRPr="000016AF">
              <w:rPr>
                <w:rFonts w:cs="Arial"/>
                <w:lang w:val="es-ES"/>
              </w:rPr>
              <w:t>Por miembros de la familia se entenderá, en la medida en que la familia ya existiera en el país de origen, los siguientes miembros de la familia del solicitante que estén presentes en el mismo Estado miembro en relación con la solicitud de protección internacional</w:t>
            </w:r>
          </w:p>
          <w:p w14:paraId="0AC58BDB" w14:textId="77777777" w:rsidR="009E247B" w:rsidRPr="000016AF" w:rsidRDefault="009E247B">
            <w:pPr>
              <w:rPr>
                <w:rFonts w:cs="Arial"/>
                <w:lang w:val="es-ES"/>
              </w:rPr>
            </w:pPr>
            <w:r w:rsidRPr="000016AF">
              <w:rPr>
                <w:rFonts w:cs="Arial"/>
                <w:lang w:val="es-ES"/>
              </w:rPr>
              <w:t>- el cónyuge del reagrupante o su pareja de hecho en una relación estable, cuando la legislación o la práctica del Estado miembro de que se trate otorgue a las parejas de hecho un trato comparable al de las parejas casadas en virtud de su legislación relativa a los nacionales de terceros países</w:t>
            </w:r>
          </w:p>
          <w:p w14:paraId="57930F1F" w14:textId="77777777" w:rsidR="009E247B" w:rsidRPr="000016AF" w:rsidRDefault="009E247B">
            <w:pPr>
              <w:rPr>
                <w:rFonts w:cs="Arial"/>
                <w:lang w:val="es-ES"/>
              </w:rPr>
            </w:pPr>
            <w:r w:rsidRPr="000016AF">
              <w:rPr>
                <w:rFonts w:cs="Arial"/>
                <w:lang w:val="es-ES"/>
              </w:rPr>
              <w:t>- los hijos menores de las parejas mencionadas en el primer guion o del solicitante, a condición de que no estén casados e independientemente de que hayan nacido dentro o fuera del matrimonio o hayan sido adoptados según la legislación nacional</w:t>
            </w:r>
          </w:p>
          <w:p w14:paraId="3FB80BCD" w14:textId="77777777" w:rsidR="009E247B" w:rsidRPr="000016AF" w:rsidRDefault="009E247B">
            <w:pPr>
              <w:rPr>
                <w:rFonts w:cs="Arial"/>
                <w:lang w:val="es-ES"/>
              </w:rPr>
            </w:pPr>
            <w:r w:rsidRPr="000016AF">
              <w:rPr>
                <w:rFonts w:cs="Arial"/>
                <w:lang w:val="es-ES"/>
              </w:rPr>
              <w:t>- el padre, la madre u otro adulto responsable del solicitante, ya sea por la ley o por la práctica del Estado miembro en cuestión, cuando dicho solicitante sea menor de edad y no esté casado.</w:t>
            </w:r>
          </w:p>
        </w:tc>
        <w:tc>
          <w:tcPr>
            <w:tcW w:w="2518" w:type="dxa"/>
            <w:tcBorders>
              <w:top w:val="single" w:sz="4" w:space="0" w:color="auto"/>
              <w:left w:val="single" w:sz="4" w:space="0" w:color="auto"/>
              <w:bottom w:val="single" w:sz="4" w:space="0" w:color="auto"/>
              <w:right w:val="single" w:sz="4" w:space="0" w:color="auto"/>
            </w:tcBorders>
            <w:hideMark/>
          </w:tcPr>
          <w:p w14:paraId="12A994C3" w14:textId="77777777" w:rsidR="009E247B" w:rsidRPr="000016AF" w:rsidRDefault="009E247B">
            <w:pPr>
              <w:spacing w:line="240" w:lineRule="auto"/>
              <w:rPr>
                <w:rFonts w:cs="Arial"/>
                <w:lang w:val="es-ES"/>
              </w:rPr>
            </w:pPr>
            <w:r w:rsidRPr="000016AF">
              <w:rPr>
                <w:rFonts w:cs="Arial"/>
                <w:lang w:val="es-ES"/>
              </w:rPr>
              <w:t>Art. 2, letra c), de la Directiva 2013/33/UE por la que se establecen normas para la acogida de los solicitantes de protección internacional</w:t>
            </w:r>
          </w:p>
          <w:p w14:paraId="0EBCB5CA" w14:textId="77777777" w:rsidR="009E247B" w:rsidRPr="000016AF" w:rsidRDefault="009E247B">
            <w:pPr>
              <w:spacing w:line="240" w:lineRule="auto"/>
              <w:rPr>
                <w:rFonts w:cs="Arial"/>
                <w:lang w:val="es-ES"/>
              </w:rPr>
            </w:pPr>
            <w:r w:rsidRPr="000016AF">
              <w:rPr>
                <w:rFonts w:cs="Arial"/>
                <w:lang w:val="es-ES"/>
              </w:rPr>
              <w:t>(refundición).</w:t>
            </w:r>
          </w:p>
        </w:tc>
      </w:tr>
      <w:tr w:rsidR="009E247B" w:rsidRPr="000A250C" w14:paraId="754B3E63"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5E403A5A" w14:textId="77777777" w:rsidR="009E247B" w:rsidRPr="000016AF" w:rsidRDefault="009E247B">
            <w:pPr>
              <w:rPr>
                <w:rFonts w:cs="Arial"/>
                <w:lang w:val="es-ES"/>
              </w:rPr>
            </w:pPr>
            <w:r w:rsidRPr="000016AF">
              <w:rPr>
                <w:rFonts w:cs="Arial"/>
                <w:lang w:val="es-ES"/>
              </w:rPr>
              <w:lastRenderedPageBreak/>
              <w:t>Indicador de realización</w:t>
            </w:r>
          </w:p>
        </w:tc>
        <w:tc>
          <w:tcPr>
            <w:tcW w:w="4416" w:type="dxa"/>
            <w:tcBorders>
              <w:top w:val="single" w:sz="4" w:space="0" w:color="auto"/>
              <w:left w:val="single" w:sz="4" w:space="0" w:color="auto"/>
              <w:bottom w:val="single" w:sz="4" w:space="0" w:color="auto"/>
              <w:right w:val="single" w:sz="4" w:space="0" w:color="auto"/>
            </w:tcBorders>
            <w:hideMark/>
          </w:tcPr>
          <w:p w14:paraId="610B7DD0" w14:textId="77777777" w:rsidR="009E247B" w:rsidRPr="000016AF" w:rsidRDefault="009E247B">
            <w:pPr>
              <w:rPr>
                <w:rFonts w:cs="Arial"/>
                <w:lang w:val="es-ES"/>
              </w:rPr>
            </w:pPr>
            <w:r w:rsidRPr="000016AF">
              <w:rPr>
                <w:rFonts w:cs="Arial"/>
                <w:lang w:val="es-ES"/>
              </w:rPr>
              <w:t>Aquel indicador que mide el número de personas que se benefician directamente de una operación.</w:t>
            </w:r>
          </w:p>
        </w:tc>
        <w:tc>
          <w:tcPr>
            <w:tcW w:w="2518" w:type="dxa"/>
            <w:tcBorders>
              <w:top w:val="single" w:sz="4" w:space="0" w:color="auto"/>
              <w:left w:val="single" w:sz="4" w:space="0" w:color="auto"/>
              <w:bottom w:val="single" w:sz="4" w:space="0" w:color="auto"/>
              <w:right w:val="single" w:sz="4" w:space="0" w:color="auto"/>
            </w:tcBorders>
            <w:hideMark/>
          </w:tcPr>
          <w:p w14:paraId="10E67CB7" w14:textId="77777777" w:rsidR="009E247B" w:rsidRPr="000016AF" w:rsidRDefault="009E247B">
            <w:pPr>
              <w:rPr>
                <w:rFonts w:cs="Arial"/>
                <w:lang w:val="es-ES"/>
              </w:rPr>
            </w:pPr>
            <w:r w:rsidRPr="000016AF">
              <w:rPr>
                <w:rFonts w:cs="Arial"/>
                <w:lang w:val="es-ES"/>
              </w:rPr>
              <w:t>Reglamento (UE) 2021/1147 del Parlamento Europeo y del Consejo de 7 de julio de 2021 por el que se crea el Fondo de Asilo, Migración e Integración.</w:t>
            </w:r>
          </w:p>
        </w:tc>
      </w:tr>
      <w:tr w:rsidR="009E247B" w:rsidRPr="000A250C" w14:paraId="7111B9A3"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2A547DC" w14:textId="77777777" w:rsidR="009E247B" w:rsidRPr="000016AF" w:rsidRDefault="009E247B">
            <w:pPr>
              <w:rPr>
                <w:rFonts w:cs="Arial"/>
                <w:lang w:val="es-ES"/>
              </w:rPr>
            </w:pPr>
            <w:r w:rsidRPr="000016AF">
              <w:rPr>
                <w:rFonts w:cs="Arial"/>
                <w:lang w:val="es-ES"/>
              </w:rPr>
              <w:t>Indicador de resultado</w:t>
            </w:r>
          </w:p>
        </w:tc>
        <w:tc>
          <w:tcPr>
            <w:tcW w:w="4416" w:type="dxa"/>
            <w:tcBorders>
              <w:top w:val="single" w:sz="4" w:space="0" w:color="auto"/>
              <w:left w:val="single" w:sz="4" w:space="0" w:color="auto"/>
              <w:bottom w:val="single" w:sz="4" w:space="0" w:color="auto"/>
              <w:right w:val="single" w:sz="4" w:space="0" w:color="auto"/>
            </w:tcBorders>
            <w:hideMark/>
          </w:tcPr>
          <w:p w14:paraId="79C2B256" w14:textId="77777777" w:rsidR="009E247B" w:rsidRPr="000016AF" w:rsidRDefault="009E247B">
            <w:pPr>
              <w:rPr>
                <w:rFonts w:cs="Arial"/>
                <w:lang w:val="es-ES"/>
              </w:rPr>
            </w:pPr>
            <w:r w:rsidRPr="000016AF">
              <w:rPr>
                <w:rFonts w:cs="Arial"/>
                <w:lang w:val="es-ES"/>
              </w:rPr>
              <w:t>Aquel indicador que mide los efectos directos de las operaciones en las personas que se benefician de ella.</w:t>
            </w:r>
          </w:p>
        </w:tc>
        <w:tc>
          <w:tcPr>
            <w:tcW w:w="2518" w:type="dxa"/>
            <w:tcBorders>
              <w:top w:val="single" w:sz="4" w:space="0" w:color="auto"/>
              <w:left w:val="single" w:sz="4" w:space="0" w:color="auto"/>
              <w:bottom w:val="single" w:sz="4" w:space="0" w:color="auto"/>
              <w:right w:val="single" w:sz="4" w:space="0" w:color="auto"/>
            </w:tcBorders>
            <w:hideMark/>
          </w:tcPr>
          <w:p w14:paraId="3D409144" w14:textId="77777777" w:rsidR="009E247B" w:rsidRPr="000016AF" w:rsidRDefault="009E247B">
            <w:pPr>
              <w:rPr>
                <w:rFonts w:cs="Arial"/>
                <w:lang w:val="es-ES"/>
              </w:rPr>
            </w:pPr>
            <w:r w:rsidRPr="000016AF">
              <w:rPr>
                <w:rFonts w:cs="Arial"/>
                <w:lang w:val="es-ES"/>
              </w:rPr>
              <w:t>Reglamento (UE) 2021/1147 del Parlamento Europeo y del Consejo de 7 de julio de 2021 por el que se crea el Fondo de Asilo, Migración e Integración.</w:t>
            </w:r>
          </w:p>
        </w:tc>
      </w:tr>
      <w:tr w:rsidR="009E247B" w:rsidRPr="000A250C" w14:paraId="692232B4"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500B9D8C" w14:textId="77777777" w:rsidR="009E247B" w:rsidRPr="000016AF" w:rsidRDefault="009E247B">
            <w:pPr>
              <w:rPr>
                <w:rFonts w:cs="Arial"/>
                <w:lang w:val="es-ES"/>
              </w:rPr>
            </w:pPr>
            <w:r w:rsidRPr="000016AF">
              <w:rPr>
                <w:rFonts w:cs="Arial"/>
                <w:lang w:val="es-ES"/>
              </w:rPr>
              <w:t>Infraestructura de acogida</w:t>
            </w:r>
          </w:p>
        </w:tc>
        <w:tc>
          <w:tcPr>
            <w:tcW w:w="4416" w:type="dxa"/>
            <w:tcBorders>
              <w:top w:val="single" w:sz="4" w:space="0" w:color="auto"/>
              <w:left w:val="single" w:sz="4" w:space="0" w:color="auto"/>
              <w:bottom w:val="single" w:sz="4" w:space="0" w:color="auto"/>
              <w:right w:val="single" w:sz="4" w:space="0" w:color="auto"/>
            </w:tcBorders>
          </w:tcPr>
          <w:p w14:paraId="68A7DD19" w14:textId="77777777" w:rsidR="009E247B" w:rsidRPr="000016AF" w:rsidRDefault="009E247B">
            <w:pPr>
              <w:rPr>
                <w:rFonts w:cs="Arial"/>
                <w:lang w:val="es-ES"/>
              </w:rPr>
            </w:pPr>
            <w:r w:rsidRPr="000016AF">
              <w:rPr>
                <w:rFonts w:cs="Arial"/>
                <w:lang w:val="es-ES"/>
              </w:rPr>
              <w:t>- Cualquier centro de alojamiento o lugar utilizado para la vivienda colectiva de los solicitantes o locales utilizados para fines de vivienda de solicitantes o casas particulares, pisos, hoteles u otros locales adaptados para el alojamiento de solicitantes de protección internacional en</w:t>
            </w:r>
          </w:p>
          <w:p w14:paraId="0AD9EEBD" w14:textId="77777777" w:rsidR="009E247B" w:rsidRPr="000016AF" w:rsidRDefault="009E247B">
            <w:pPr>
              <w:rPr>
                <w:rFonts w:cs="Arial"/>
                <w:lang w:val="es-ES"/>
              </w:rPr>
            </w:pPr>
            <w:r w:rsidRPr="000016AF">
              <w:rPr>
                <w:rFonts w:cs="Arial"/>
                <w:lang w:val="es-ES"/>
              </w:rPr>
              <w:t>de conformidad con el acervo de la Unión. La infraestructura de acogida también puede ser utilizada por beneficiarios de protección internacional en el</w:t>
            </w:r>
          </w:p>
          <w:p w14:paraId="65A8764A" w14:textId="77777777" w:rsidR="009E247B" w:rsidRPr="000016AF" w:rsidRDefault="009E247B">
            <w:pPr>
              <w:rPr>
                <w:rFonts w:cs="Arial"/>
                <w:lang w:val="es-ES"/>
              </w:rPr>
            </w:pPr>
            <w:r w:rsidRPr="000016AF">
              <w:rPr>
                <w:rFonts w:cs="Arial"/>
                <w:lang w:val="es-ES"/>
              </w:rPr>
              <w:t>período transitorio de duración limitada, antes de que se les proporcione un alojamiento fuera de la infraestructura de acogida.</w:t>
            </w:r>
          </w:p>
          <w:p w14:paraId="0ACEE67A" w14:textId="77777777" w:rsidR="009E247B" w:rsidRPr="000016AF" w:rsidRDefault="009E247B">
            <w:pPr>
              <w:rPr>
                <w:rFonts w:cs="Arial"/>
                <w:lang w:val="es-ES"/>
              </w:rPr>
            </w:pPr>
          </w:p>
          <w:p w14:paraId="3E6C97E2" w14:textId="77777777" w:rsidR="009E247B" w:rsidRPr="000016AF" w:rsidRDefault="009E247B">
            <w:pPr>
              <w:rPr>
                <w:rFonts w:cs="Arial"/>
                <w:lang w:val="es-ES"/>
              </w:rPr>
            </w:pPr>
            <w:r w:rsidRPr="000016AF">
              <w:rPr>
                <w:rFonts w:cs="Arial"/>
                <w:lang w:val="es-ES"/>
              </w:rPr>
              <w:t>- Cualquier centro de alojamiento o lugar especializado ya sea en alojamiento de menores o en otro alojamiento adecuado para menores de conformidad con el acervo de la Unión.</w:t>
            </w:r>
          </w:p>
        </w:tc>
        <w:tc>
          <w:tcPr>
            <w:tcW w:w="2518" w:type="dxa"/>
            <w:tcBorders>
              <w:top w:val="single" w:sz="4" w:space="0" w:color="auto"/>
              <w:left w:val="single" w:sz="4" w:space="0" w:color="auto"/>
              <w:bottom w:val="single" w:sz="4" w:space="0" w:color="auto"/>
              <w:right w:val="single" w:sz="4" w:space="0" w:color="auto"/>
            </w:tcBorders>
            <w:hideMark/>
          </w:tcPr>
          <w:p w14:paraId="670B9077" w14:textId="77777777" w:rsidR="009E247B" w:rsidRPr="00582952" w:rsidRDefault="009E247B">
            <w:pPr>
              <w:rPr>
                <w:rFonts w:cs="Arial"/>
                <w:lang w:val="en-AU"/>
              </w:rPr>
            </w:pPr>
            <w:r w:rsidRPr="00582952">
              <w:rPr>
                <w:rFonts w:cs="Arial"/>
                <w:lang w:val="en-AU"/>
              </w:rPr>
              <w:t>AMIF Indicator Fiche</w:t>
            </w:r>
          </w:p>
          <w:p w14:paraId="41B21D7E" w14:textId="1A186CD2" w:rsidR="009E247B" w:rsidRPr="0073548D"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A250C" w14:paraId="28E06CC3"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0000B9D" w14:textId="77777777" w:rsidR="009E247B" w:rsidRPr="000016AF" w:rsidRDefault="009E247B">
            <w:pPr>
              <w:rPr>
                <w:rFonts w:cs="Arial"/>
                <w:lang w:val="es-ES"/>
              </w:rPr>
            </w:pPr>
            <w:r w:rsidRPr="000016AF">
              <w:rPr>
                <w:rFonts w:cs="Arial"/>
                <w:lang w:val="es-ES"/>
              </w:rPr>
              <w:t>Intervención</w:t>
            </w:r>
          </w:p>
        </w:tc>
        <w:tc>
          <w:tcPr>
            <w:tcW w:w="4416" w:type="dxa"/>
            <w:tcBorders>
              <w:top w:val="single" w:sz="4" w:space="0" w:color="auto"/>
              <w:left w:val="single" w:sz="4" w:space="0" w:color="auto"/>
              <w:bottom w:val="single" w:sz="4" w:space="0" w:color="auto"/>
              <w:right w:val="single" w:sz="4" w:space="0" w:color="auto"/>
            </w:tcBorders>
            <w:hideMark/>
          </w:tcPr>
          <w:p w14:paraId="7CCA7945" w14:textId="3567ED9C" w:rsidR="009E247B" w:rsidRPr="000016AF" w:rsidRDefault="009E247B">
            <w:pPr>
              <w:rPr>
                <w:rFonts w:cs="Arial"/>
                <w:lang w:val="es-ES"/>
              </w:rPr>
            </w:pPr>
            <w:r w:rsidRPr="000016AF">
              <w:rPr>
                <w:rFonts w:cs="Arial"/>
                <w:lang w:val="es-ES"/>
              </w:rPr>
              <w:t>Tipo de actuación englobada dentro de un Objetivo Específico y definida por la Comisión Europea.</w:t>
            </w:r>
          </w:p>
        </w:tc>
        <w:tc>
          <w:tcPr>
            <w:tcW w:w="2518" w:type="dxa"/>
            <w:tcBorders>
              <w:top w:val="single" w:sz="4" w:space="0" w:color="auto"/>
              <w:left w:val="single" w:sz="4" w:space="0" w:color="auto"/>
              <w:bottom w:val="single" w:sz="4" w:space="0" w:color="auto"/>
              <w:right w:val="single" w:sz="4" w:space="0" w:color="auto"/>
            </w:tcBorders>
            <w:hideMark/>
          </w:tcPr>
          <w:p w14:paraId="7E9B5A34" w14:textId="77777777" w:rsidR="009E247B" w:rsidRPr="000016AF" w:rsidRDefault="009E247B">
            <w:pPr>
              <w:rPr>
                <w:rFonts w:cs="Arial"/>
                <w:lang w:val="es-ES"/>
              </w:rPr>
            </w:pPr>
            <w:r w:rsidRPr="000016AF">
              <w:rPr>
                <w:rFonts w:cs="Arial"/>
                <w:lang w:val="es-ES"/>
              </w:rPr>
              <w:t>Reglamento (UE) 2021/1147 del Parlamento Europeo y del Consejo de 7 de julio de 2021 por el que se crea el Fondo de Asilo, Migración e Integración.</w:t>
            </w:r>
          </w:p>
        </w:tc>
      </w:tr>
      <w:tr w:rsidR="009E247B" w:rsidRPr="000A250C" w14:paraId="259560D3"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44B92FA9" w14:textId="77777777" w:rsidR="009E247B" w:rsidRPr="000016AF" w:rsidRDefault="009E247B">
            <w:pPr>
              <w:rPr>
                <w:rFonts w:cs="Arial"/>
                <w:lang w:val="es-ES"/>
              </w:rPr>
            </w:pPr>
            <w:r w:rsidRPr="000016AF">
              <w:rPr>
                <w:rFonts w:cs="Arial"/>
                <w:lang w:val="es-ES"/>
              </w:rPr>
              <w:lastRenderedPageBreak/>
              <w:t>Medida previa a la salida</w:t>
            </w:r>
          </w:p>
        </w:tc>
        <w:tc>
          <w:tcPr>
            <w:tcW w:w="4416" w:type="dxa"/>
            <w:tcBorders>
              <w:top w:val="single" w:sz="4" w:space="0" w:color="auto"/>
              <w:left w:val="single" w:sz="4" w:space="0" w:color="auto"/>
              <w:bottom w:val="single" w:sz="4" w:space="0" w:color="auto"/>
              <w:right w:val="single" w:sz="4" w:space="0" w:color="auto"/>
            </w:tcBorders>
            <w:hideMark/>
          </w:tcPr>
          <w:p w14:paraId="0F66306D" w14:textId="77777777" w:rsidR="009E247B" w:rsidRPr="000016AF" w:rsidRDefault="009E247B">
            <w:pPr>
              <w:rPr>
                <w:rFonts w:cs="Arial"/>
                <w:lang w:val="es-ES"/>
              </w:rPr>
            </w:pPr>
            <w:r w:rsidRPr="000016AF">
              <w:rPr>
                <w:rFonts w:cs="Arial"/>
                <w:lang w:val="es-ES"/>
              </w:rPr>
              <w:t>Por medida previa a la salida se entiende cualquier apoyo a la integración que tenga lugar en un tercer país antes de la migración a la UE en consonancia con el acervo de la UE sobre migración legal (como formación lingüística, suministro de información sobre la futura sociedad de acogida u otras medidas específicamente</w:t>
            </w:r>
          </w:p>
          <w:p w14:paraId="5E5C8AC1" w14:textId="77777777" w:rsidR="009E247B" w:rsidRPr="000016AF" w:rsidRDefault="009E247B">
            <w:pPr>
              <w:rPr>
                <w:rFonts w:cs="Arial"/>
                <w:lang w:val="es-ES"/>
              </w:rPr>
            </w:pPr>
            <w:r w:rsidRPr="000016AF">
              <w:rPr>
                <w:rFonts w:cs="Arial"/>
                <w:lang w:val="es-ES"/>
              </w:rPr>
              <w:t>relacionadas con la situación de la persona y la vía legal que va a utilizar (reagrupación familiar, trabajo, estudios, etc.).</w:t>
            </w:r>
          </w:p>
        </w:tc>
        <w:tc>
          <w:tcPr>
            <w:tcW w:w="2518" w:type="dxa"/>
            <w:tcBorders>
              <w:top w:val="single" w:sz="4" w:space="0" w:color="auto"/>
              <w:left w:val="single" w:sz="4" w:space="0" w:color="auto"/>
              <w:bottom w:val="single" w:sz="4" w:space="0" w:color="auto"/>
              <w:right w:val="single" w:sz="4" w:space="0" w:color="auto"/>
            </w:tcBorders>
            <w:hideMark/>
          </w:tcPr>
          <w:p w14:paraId="1F44010E" w14:textId="77777777" w:rsidR="009E247B" w:rsidRPr="00582952" w:rsidRDefault="009E247B">
            <w:pPr>
              <w:rPr>
                <w:rFonts w:cs="Arial"/>
                <w:lang w:val="en-AU"/>
              </w:rPr>
            </w:pPr>
            <w:r w:rsidRPr="00582952">
              <w:rPr>
                <w:rFonts w:cs="Arial"/>
                <w:lang w:val="en-AU"/>
              </w:rPr>
              <w:t>AMIF Indicator Fiche</w:t>
            </w:r>
          </w:p>
          <w:p w14:paraId="0EE941FE" w14:textId="22669188" w:rsidR="009E247B" w:rsidRPr="0073548D" w:rsidRDefault="009E247B">
            <w:pPr>
              <w:rPr>
                <w:rFonts w:cs="Arial"/>
                <w:lang w:val="en-AU"/>
              </w:rPr>
            </w:pPr>
            <w:r w:rsidRPr="00582952">
              <w:rPr>
                <w:rFonts w:cs="Arial"/>
                <w:lang w:val="en-AU"/>
              </w:rPr>
              <w:t xml:space="preserve">(AMIF Indicator Fiche, </w:t>
            </w:r>
            <w:r w:rsidR="00263423">
              <w:rPr>
                <w:rFonts w:cs="Arial"/>
                <w:lang w:val="en-AU"/>
              </w:rPr>
              <w:t xml:space="preserve">Ref. </w:t>
            </w:r>
            <w:proofErr w:type="gramStart"/>
            <w:r w:rsidR="00263423">
              <w:rPr>
                <w:rFonts w:cs="Arial"/>
                <w:lang w:val="en-AU"/>
              </w:rPr>
              <w:t>Ares(</w:t>
            </w:r>
            <w:proofErr w:type="gramEnd"/>
            <w:r w:rsidR="00263423">
              <w:rPr>
                <w:rFonts w:cs="Arial"/>
                <w:lang w:val="en-AU"/>
              </w:rPr>
              <w:t>2022)1238557 – 18/02/2022).</w:t>
            </w:r>
          </w:p>
        </w:tc>
      </w:tr>
      <w:tr w:rsidR="009E247B" w:rsidRPr="000A250C" w14:paraId="03297D51"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EB0574A" w14:textId="77777777" w:rsidR="009E247B" w:rsidRPr="000016AF" w:rsidRDefault="009E247B">
            <w:pPr>
              <w:rPr>
                <w:rFonts w:cs="Arial"/>
                <w:lang w:val="es-ES"/>
              </w:rPr>
            </w:pPr>
            <w:r w:rsidRPr="000016AF">
              <w:rPr>
                <w:rFonts w:cs="Arial"/>
                <w:lang w:val="es-ES"/>
              </w:rPr>
              <w:t>Medida sustitutiva al internamiento</w:t>
            </w:r>
          </w:p>
        </w:tc>
        <w:tc>
          <w:tcPr>
            <w:tcW w:w="4416" w:type="dxa"/>
            <w:tcBorders>
              <w:top w:val="single" w:sz="4" w:space="0" w:color="auto"/>
              <w:left w:val="single" w:sz="4" w:space="0" w:color="auto"/>
              <w:bottom w:val="single" w:sz="4" w:space="0" w:color="auto"/>
              <w:right w:val="single" w:sz="4" w:space="0" w:color="auto"/>
            </w:tcBorders>
            <w:hideMark/>
          </w:tcPr>
          <w:p w14:paraId="7E11AD83" w14:textId="77777777" w:rsidR="009E247B" w:rsidRPr="000016AF" w:rsidRDefault="009E247B">
            <w:pPr>
              <w:rPr>
                <w:rFonts w:cs="Arial"/>
                <w:lang w:val="es-ES"/>
              </w:rPr>
            </w:pPr>
            <w:r w:rsidRPr="000016AF">
              <w:rPr>
                <w:rFonts w:cs="Arial"/>
                <w:lang w:val="es-ES"/>
              </w:rPr>
              <w:t>Aquella medida no privativa de libertad utilizada para controlar y/o limitar el movimiento de nacionales de terceros países. Por ejemplo, centros de recepción con sistemas de vigilancia adicionales (como sistemas de entrada y salida) u otros mecanismos de control (como toques de queda).</w:t>
            </w:r>
          </w:p>
        </w:tc>
        <w:tc>
          <w:tcPr>
            <w:tcW w:w="2518" w:type="dxa"/>
            <w:tcBorders>
              <w:top w:val="single" w:sz="4" w:space="0" w:color="auto"/>
              <w:left w:val="single" w:sz="4" w:space="0" w:color="auto"/>
              <w:bottom w:val="single" w:sz="4" w:space="0" w:color="auto"/>
              <w:right w:val="single" w:sz="4" w:space="0" w:color="auto"/>
            </w:tcBorders>
            <w:hideMark/>
          </w:tcPr>
          <w:p w14:paraId="073A6FB5" w14:textId="77777777" w:rsidR="009E247B" w:rsidRPr="00582952" w:rsidRDefault="009E247B">
            <w:pPr>
              <w:rPr>
                <w:rFonts w:cs="Arial"/>
                <w:lang w:val="en-AU"/>
              </w:rPr>
            </w:pPr>
            <w:r w:rsidRPr="00582952">
              <w:rPr>
                <w:rFonts w:cs="Arial"/>
                <w:lang w:val="en-AU"/>
              </w:rPr>
              <w:t>AMIF Indicator Fiche</w:t>
            </w:r>
          </w:p>
          <w:p w14:paraId="67DC22A2" w14:textId="4C0472A6" w:rsidR="009E247B" w:rsidRPr="0073548D" w:rsidRDefault="009E247B">
            <w:pPr>
              <w:rPr>
                <w:rFonts w:cs="Arial"/>
                <w:lang w:val="en-AU"/>
              </w:rPr>
            </w:pPr>
            <w:r w:rsidRPr="00582952">
              <w:rPr>
                <w:lang w:val="en-AU"/>
              </w:rPr>
              <w:t xml:space="preserve">(AMIF Indicator Fiche, </w:t>
            </w:r>
            <w:r w:rsidR="00263423">
              <w:rPr>
                <w:lang w:val="en-AU"/>
              </w:rPr>
              <w:t xml:space="preserve">Ref. </w:t>
            </w:r>
            <w:proofErr w:type="gramStart"/>
            <w:r w:rsidR="00263423">
              <w:rPr>
                <w:lang w:val="en-AU"/>
              </w:rPr>
              <w:t>Ares(</w:t>
            </w:r>
            <w:proofErr w:type="gramEnd"/>
            <w:r w:rsidR="00263423">
              <w:rPr>
                <w:lang w:val="en-AU"/>
              </w:rPr>
              <w:t>2022)1238557 – 18/02/2022).</w:t>
            </w:r>
          </w:p>
        </w:tc>
      </w:tr>
      <w:tr w:rsidR="009E247B" w:rsidRPr="000A250C" w14:paraId="179E9A6B"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9B94572" w14:textId="77777777" w:rsidR="009E247B" w:rsidRPr="000016AF" w:rsidRDefault="009E247B">
            <w:pPr>
              <w:rPr>
                <w:rFonts w:cs="Arial"/>
                <w:lang w:val="es-ES"/>
              </w:rPr>
            </w:pPr>
            <w:r w:rsidRPr="000016AF">
              <w:rPr>
                <w:rFonts w:cs="Arial"/>
                <w:lang w:val="es-ES"/>
              </w:rPr>
              <w:t>Menor no acompañado</w:t>
            </w:r>
          </w:p>
        </w:tc>
        <w:tc>
          <w:tcPr>
            <w:tcW w:w="4416" w:type="dxa"/>
            <w:tcBorders>
              <w:top w:val="single" w:sz="4" w:space="0" w:color="auto"/>
              <w:left w:val="single" w:sz="4" w:space="0" w:color="auto"/>
              <w:bottom w:val="single" w:sz="4" w:space="0" w:color="auto"/>
              <w:right w:val="single" w:sz="4" w:space="0" w:color="auto"/>
            </w:tcBorders>
            <w:hideMark/>
          </w:tcPr>
          <w:p w14:paraId="03AA0907" w14:textId="54C0047C" w:rsidR="009E247B" w:rsidRPr="000016AF" w:rsidRDefault="009E247B">
            <w:pPr>
              <w:rPr>
                <w:rFonts w:cs="Arial"/>
                <w:lang w:val="es-ES"/>
              </w:rPr>
            </w:pPr>
            <w:r w:rsidRPr="000016AF">
              <w:rPr>
                <w:rFonts w:cs="Arial"/>
                <w:lang w:val="es-ES"/>
              </w:rPr>
              <w:t>Aquel menor</w:t>
            </w:r>
            <w:r w:rsidR="008F7E8E">
              <w:rPr>
                <w:rFonts w:cs="Arial"/>
                <w:lang w:val="es-ES"/>
              </w:rPr>
              <w:t xml:space="preserve"> de edad, conforme a la ley o práctica del estado miembro del que se trate,</w:t>
            </w:r>
            <w:r w:rsidRPr="000016AF">
              <w:rPr>
                <w:rFonts w:cs="Arial"/>
                <w:lang w:val="es-ES"/>
              </w:rPr>
              <w:t xml:space="preserve"> que llega al territorio de algún estado miembro sin ir acompañado de un adulto responsable del mismo, conforme a la ley o a la práctica del estado miembro de que se trate, y mientras no esté efectivamente bajo el cuidado de tal adulto responsable de él; este concepto incluye al menor que deja de estar acompañado después de haber entrado en el territorio de los Estados miembros.</w:t>
            </w:r>
          </w:p>
        </w:tc>
        <w:tc>
          <w:tcPr>
            <w:tcW w:w="2518" w:type="dxa"/>
            <w:tcBorders>
              <w:top w:val="single" w:sz="4" w:space="0" w:color="auto"/>
              <w:left w:val="single" w:sz="4" w:space="0" w:color="auto"/>
              <w:bottom w:val="single" w:sz="4" w:space="0" w:color="auto"/>
              <w:right w:val="single" w:sz="4" w:space="0" w:color="auto"/>
            </w:tcBorders>
            <w:hideMark/>
          </w:tcPr>
          <w:p w14:paraId="2D28F729" w14:textId="77777777" w:rsidR="009E247B" w:rsidRPr="000016AF" w:rsidRDefault="009E247B">
            <w:pPr>
              <w:rPr>
                <w:rFonts w:cs="Arial"/>
                <w:lang w:val="es-ES"/>
              </w:rPr>
            </w:pPr>
            <w:r w:rsidRPr="000016AF">
              <w:rPr>
                <w:rFonts w:cs="Arial"/>
                <w:lang w:val="es-ES"/>
              </w:rPr>
              <w:t>Directiva 2013/33/UE del Parlamento Europeo y del Consejo de 26 de junio de 2013 por la que se aprueban normas para la acogida de los solicitantes de protección internacional (texto refundido).</w:t>
            </w:r>
          </w:p>
        </w:tc>
      </w:tr>
      <w:tr w:rsidR="009E247B" w:rsidRPr="000A250C" w14:paraId="0C16C6C1"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0E82B92A" w14:textId="77777777" w:rsidR="009E247B" w:rsidRPr="000016AF" w:rsidRDefault="009E247B">
            <w:pPr>
              <w:rPr>
                <w:rFonts w:cs="Arial"/>
                <w:lang w:val="es-ES"/>
              </w:rPr>
            </w:pPr>
            <w:r w:rsidRPr="000016AF">
              <w:rPr>
                <w:rFonts w:cs="Arial"/>
                <w:lang w:val="es-ES"/>
              </w:rPr>
              <w:t>Migración legal</w:t>
            </w:r>
          </w:p>
        </w:tc>
        <w:tc>
          <w:tcPr>
            <w:tcW w:w="4416" w:type="dxa"/>
            <w:tcBorders>
              <w:top w:val="single" w:sz="4" w:space="0" w:color="auto"/>
              <w:left w:val="single" w:sz="4" w:space="0" w:color="auto"/>
              <w:bottom w:val="single" w:sz="4" w:space="0" w:color="auto"/>
              <w:right w:val="single" w:sz="4" w:space="0" w:color="auto"/>
            </w:tcBorders>
            <w:hideMark/>
          </w:tcPr>
          <w:p w14:paraId="48062B0B" w14:textId="18C9BC57" w:rsidR="009E247B" w:rsidRPr="000016AF" w:rsidRDefault="008F7E8E">
            <w:pPr>
              <w:rPr>
                <w:rFonts w:cs="Arial"/>
                <w:lang w:val="es-ES"/>
              </w:rPr>
            </w:pPr>
            <w:r>
              <w:rPr>
                <w:rFonts w:cs="Arial"/>
                <w:lang w:val="es-ES"/>
              </w:rPr>
              <w:t>Aquella que se produce</w:t>
            </w:r>
            <w:r w:rsidR="009E247B" w:rsidRPr="000016AF">
              <w:rPr>
                <w:rFonts w:cs="Arial"/>
                <w:lang w:val="es-ES"/>
              </w:rPr>
              <w:t xml:space="preserve"> de acuerdo con el marco legal aplicable.</w:t>
            </w:r>
          </w:p>
        </w:tc>
        <w:tc>
          <w:tcPr>
            <w:tcW w:w="2518" w:type="dxa"/>
            <w:tcBorders>
              <w:top w:val="single" w:sz="4" w:space="0" w:color="auto"/>
              <w:left w:val="single" w:sz="4" w:space="0" w:color="auto"/>
              <w:bottom w:val="single" w:sz="4" w:space="0" w:color="auto"/>
              <w:right w:val="single" w:sz="4" w:space="0" w:color="auto"/>
            </w:tcBorders>
            <w:hideMark/>
          </w:tcPr>
          <w:p w14:paraId="2FAE13F9" w14:textId="77777777" w:rsidR="009E247B" w:rsidRPr="00582952" w:rsidRDefault="009E247B">
            <w:pPr>
              <w:rPr>
                <w:rFonts w:cs="Arial"/>
                <w:lang w:val="en-AU"/>
              </w:rPr>
            </w:pPr>
            <w:r w:rsidRPr="00582952">
              <w:rPr>
                <w:rFonts w:cs="Arial"/>
                <w:lang w:val="en-AU"/>
              </w:rPr>
              <w:t>AMIF Indicator Fiche</w:t>
            </w:r>
          </w:p>
          <w:p w14:paraId="4440FC2B" w14:textId="40FF1894" w:rsidR="009E247B" w:rsidRPr="0073548D" w:rsidRDefault="009E247B">
            <w:pPr>
              <w:rPr>
                <w:rFonts w:cs="Arial"/>
                <w:lang w:val="en-AU"/>
              </w:rPr>
            </w:pPr>
            <w:r w:rsidRPr="00582952">
              <w:rPr>
                <w:rFonts w:cs="Arial"/>
                <w:lang w:val="en-AU"/>
              </w:rPr>
              <w:t xml:space="preserve">(AMIF Indicator Fiche, </w:t>
            </w:r>
            <w:r w:rsidR="00B87535">
              <w:rPr>
                <w:rFonts w:cs="Arial"/>
                <w:lang w:val="en-AU"/>
              </w:rPr>
              <w:t xml:space="preserve">Ref. </w:t>
            </w:r>
            <w:proofErr w:type="gramStart"/>
            <w:r w:rsidR="00B87535">
              <w:rPr>
                <w:rFonts w:cs="Arial"/>
                <w:lang w:val="en-AU"/>
              </w:rPr>
              <w:t>Ares(</w:t>
            </w:r>
            <w:proofErr w:type="gramEnd"/>
            <w:r w:rsidR="00B87535">
              <w:rPr>
                <w:rFonts w:cs="Arial"/>
                <w:lang w:val="en-AU"/>
              </w:rPr>
              <w:t>2022)1238557 – 18/02/2022).</w:t>
            </w:r>
          </w:p>
        </w:tc>
      </w:tr>
      <w:tr w:rsidR="009E247B" w:rsidRPr="000A250C" w14:paraId="234F14C0"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0D39861" w14:textId="77777777" w:rsidR="009E247B" w:rsidRPr="000016AF" w:rsidRDefault="009E247B">
            <w:pPr>
              <w:rPr>
                <w:rFonts w:cs="Arial"/>
                <w:lang w:val="es-ES"/>
              </w:rPr>
            </w:pPr>
            <w:r w:rsidRPr="000016AF">
              <w:rPr>
                <w:rFonts w:cs="Arial"/>
                <w:lang w:val="es-ES"/>
              </w:rPr>
              <w:t>Nacional de un tercer país</w:t>
            </w:r>
          </w:p>
        </w:tc>
        <w:tc>
          <w:tcPr>
            <w:tcW w:w="4416" w:type="dxa"/>
            <w:tcBorders>
              <w:top w:val="single" w:sz="4" w:space="0" w:color="auto"/>
              <w:left w:val="single" w:sz="4" w:space="0" w:color="auto"/>
              <w:bottom w:val="single" w:sz="4" w:space="0" w:color="auto"/>
              <w:right w:val="single" w:sz="4" w:space="0" w:color="auto"/>
            </w:tcBorders>
            <w:hideMark/>
          </w:tcPr>
          <w:p w14:paraId="308998E8" w14:textId="77777777" w:rsidR="009E247B" w:rsidRPr="000016AF" w:rsidRDefault="009E247B">
            <w:pPr>
              <w:rPr>
                <w:rFonts w:cs="Arial"/>
                <w:lang w:val="es-ES"/>
              </w:rPr>
            </w:pPr>
            <w:r w:rsidRPr="000016AF">
              <w:rPr>
                <w:rFonts w:cs="Arial"/>
                <w:lang w:val="es-ES"/>
              </w:rPr>
              <w:t>Toda persona, incluidas las personas apátridas o sin nacionalidad determinada, que no sea ciudadana de la Unión según la definición del artículo 20, apartado 1, del TFUE.</w:t>
            </w:r>
          </w:p>
        </w:tc>
        <w:tc>
          <w:tcPr>
            <w:tcW w:w="2518" w:type="dxa"/>
            <w:tcBorders>
              <w:top w:val="single" w:sz="4" w:space="0" w:color="auto"/>
              <w:left w:val="single" w:sz="4" w:space="0" w:color="auto"/>
              <w:bottom w:val="single" w:sz="4" w:space="0" w:color="auto"/>
              <w:right w:val="single" w:sz="4" w:space="0" w:color="auto"/>
            </w:tcBorders>
            <w:hideMark/>
          </w:tcPr>
          <w:p w14:paraId="29BBC3B1" w14:textId="77777777" w:rsidR="009E247B" w:rsidRPr="000016AF" w:rsidRDefault="009E247B">
            <w:pPr>
              <w:rPr>
                <w:rFonts w:cs="Arial"/>
                <w:lang w:val="es-ES"/>
              </w:rPr>
            </w:pPr>
            <w:r w:rsidRPr="000016AF">
              <w:rPr>
                <w:rFonts w:cs="Arial"/>
                <w:lang w:val="es-ES"/>
              </w:rPr>
              <w:t>Reglamento (UE) 2021/1147 del Parlamento Europeo y del Consejo de 7 de julio de 2021 por el que se crea el Fondo de Asilo, Migración e Integración.</w:t>
            </w:r>
          </w:p>
        </w:tc>
      </w:tr>
      <w:tr w:rsidR="009E247B" w:rsidRPr="000A250C" w14:paraId="474DA8B8"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2BDBCD1D" w14:textId="77777777" w:rsidR="009E247B" w:rsidRPr="000016AF" w:rsidRDefault="009E247B">
            <w:pPr>
              <w:rPr>
                <w:rFonts w:cs="Arial"/>
                <w:lang w:val="es-ES"/>
              </w:rPr>
            </w:pPr>
            <w:r w:rsidRPr="000016AF">
              <w:rPr>
                <w:rFonts w:cs="Arial"/>
                <w:lang w:val="es-ES"/>
              </w:rPr>
              <w:lastRenderedPageBreak/>
              <w:t>Objetivo Específico</w:t>
            </w:r>
          </w:p>
        </w:tc>
        <w:tc>
          <w:tcPr>
            <w:tcW w:w="4416" w:type="dxa"/>
            <w:tcBorders>
              <w:top w:val="single" w:sz="4" w:space="0" w:color="auto"/>
              <w:left w:val="single" w:sz="4" w:space="0" w:color="auto"/>
              <w:bottom w:val="single" w:sz="4" w:space="0" w:color="auto"/>
              <w:right w:val="single" w:sz="4" w:space="0" w:color="auto"/>
            </w:tcBorders>
            <w:hideMark/>
          </w:tcPr>
          <w:p w14:paraId="2A589054" w14:textId="6F4C4070" w:rsidR="009E247B" w:rsidRPr="000016AF" w:rsidRDefault="009E247B">
            <w:pPr>
              <w:rPr>
                <w:rFonts w:cs="Arial"/>
                <w:lang w:val="es-ES"/>
              </w:rPr>
            </w:pPr>
            <w:r w:rsidRPr="000016AF">
              <w:rPr>
                <w:rFonts w:cs="Arial"/>
                <w:lang w:val="es-ES"/>
              </w:rPr>
              <w:t>Directrices políticas definidas por la Comisión Europea en un ámbito determinado</w:t>
            </w:r>
            <w:r w:rsidR="008F7E8E">
              <w:rPr>
                <w:rFonts w:cs="Arial"/>
                <w:lang w:val="es-ES"/>
              </w:rPr>
              <w:t>;</w:t>
            </w:r>
            <w:r w:rsidRPr="000016AF">
              <w:rPr>
                <w:rFonts w:cs="Arial"/>
                <w:lang w:val="es-ES"/>
              </w:rPr>
              <w:t xml:space="preserve"> en este caso, los sistemas de asilo, migración e integración de los estados miembros.</w:t>
            </w:r>
          </w:p>
        </w:tc>
        <w:tc>
          <w:tcPr>
            <w:tcW w:w="2518" w:type="dxa"/>
            <w:tcBorders>
              <w:top w:val="single" w:sz="4" w:space="0" w:color="auto"/>
              <w:left w:val="single" w:sz="4" w:space="0" w:color="auto"/>
              <w:bottom w:val="single" w:sz="4" w:space="0" w:color="auto"/>
              <w:right w:val="single" w:sz="4" w:space="0" w:color="auto"/>
            </w:tcBorders>
            <w:hideMark/>
          </w:tcPr>
          <w:p w14:paraId="22A5A23C" w14:textId="77777777" w:rsidR="009E247B" w:rsidRPr="000016AF" w:rsidRDefault="009E247B">
            <w:pPr>
              <w:rPr>
                <w:rFonts w:cs="Arial"/>
                <w:lang w:val="es-ES"/>
              </w:rPr>
            </w:pPr>
            <w:r w:rsidRPr="000016AF">
              <w:rPr>
                <w:rFonts w:cs="Arial"/>
                <w:lang w:val="es-ES"/>
              </w:rPr>
              <w:t>Reglamento (UE) 2021/1147 del Parlamento Europeo y del Consejo de 7 de julio de 2021 por el que se crea el Fondo de Asilo, Migración e Integración.</w:t>
            </w:r>
          </w:p>
        </w:tc>
      </w:tr>
      <w:tr w:rsidR="009E247B" w:rsidRPr="000016AF" w14:paraId="5256CCDC"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094E7B48" w14:textId="77777777" w:rsidR="009E247B" w:rsidRPr="000016AF" w:rsidRDefault="009E247B">
            <w:pPr>
              <w:rPr>
                <w:rFonts w:cs="Arial"/>
                <w:lang w:val="es-ES"/>
              </w:rPr>
            </w:pPr>
            <w:r w:rsidRPr="000016AF">
              <w:rPr>
                <w:rFonts w:cs="Arial"/>
                <w:lang w:val="es-ES"/>
              </w:rPr>
              <w:t>Operación</w:t>
            </w:r>
          </w:p>
        </w:tc>
        <w:tc>
          <w:tcPr>
            <w:tcW w:w="4416" w:type="dxa"/>
            <w:tcBorders>
              <w:top w:val="single" w:sz="4" w:space="0" w:color="auto"/>
              <w:left w:val="single" w:sz="4" w:space="0" w:color="auto"/>
              <w:bottom w:val="single" w:sz="4" w:space="0" w:color="auto"/>
              <w:right w:val="single" w:sz="4" w:space="0" w:color="auto"/>
            </w:tcBorders>
            <w:hideMark/>
          </w:tcPr>
          <w:p w14:paraId="22DC23DE" w14:textId="4B81CA99" w:rsidR="009E247B" w:rsidRPr="000016AF" w:rsidRDefault="009E247B">
            <w:pPr>
              <w:rPr>
                <w:rFonts w:cs="Arial"/>
                <w:lang w:val="es-ES"/>
              </w:rPr>
            </w:pPr>
            <w:r w:rsidRPr="000016AF">
              <w:rPr>
                <w:rFonts w:cs="Arial"/>
                <w:lang w:val="es-ES"/>
              </w:rPr>
              <w:t>Iniciativa de la Secretaría de Estado de Migraciones englobada dentro de un tipo de intervención</w:t>
            </w:r>
            <w:r w:rsidR="008F7E8E">
              <w:rPr>
                <w:rFonts w:cs="Arial"/>
                <w:lang w:val="es-ES"/>
              </w:rPr>
              <w:t>;</w:t>
            </w:r>
            <w:r w:rsidRPr="000016AF">
              <w:rPr>
                <w:rFonts w:cs="Arial"/>
                <w:lang w:val="es-ES"/>
              </w:rPr>
              <w:t xml:space="preserve"> por ejemplo, una convocatoria de subvenciones gestionada por un área.</w:t>
            </w:r>
          </w:p>
        </w:tc>
        <w:tc>
          <w:tcPr>
            <w:tcW w:w="2518" w:type="dxa"/>
            <w:tcBorders>
              <w:top w:val="single" w:sz="4" w:space="0" w:color="auto"/>
              <w:left w:val="single" w:sz="4" w:space="0" w:color="auto"/>
              <w:bottom w:val="single" w:sz="4" w:space="0" w:color="auto"/>
              <w:right w:val="single" w:sz="4" w:space="0" w:color="auto"/>
            </w:tcBorders>
            <w:hideMark/>
          </w:tcPr>
          <w:p w14:paraId="7258C3A7" w14:textId="77777777" w:rsidR="009E247B" w:rsidRPr="000016AF" w:rsidRDefault="009E247B">
            <w:pPr>
              <w:rPr>
                <w:rFonts w:cs="Arial"/>
                <w:lang w:val="es-ES"/>
              </w:rPr>
            </w:pPr>
            <w:r w:rsidRPr="000016AF">
              <w:rPr>
                <w:rFonts w:cs="Arial"/>
                <w:lang w:val="es-ES"/>
              </w:rPr>
              <w:t>Definición propia.</w:t>
            </w:r>
          </w:p>
        </w:tc>
      </w:tr>
      <w:tr w:rsidR="009E247B" w:rsidRPr="000A250C" w14:paraId="0124BC07"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6FE030A" w14:textId="77777777" w:rsidR="009E247B" w:rsidRPr="000016AF" w:rsidRDefault="009E247B">
            <w:pPr>
              <w:rPr>
                <w:rFonts w:cs="Arial"/>
                <w:lang w:val="es-ES"/>
              </w:rPr>
            </w:pPr>
            <w:r w:rsidRPr="000016AF">
              <w:rPr>
                <w:rFonts w:cs="Arial"/>
                <w:lang w:val="es-ES"/>
              </w:rPr>
              <w:t>Orientación profesional personalizada</w:t>
            </w:r>
          </w:p>
        </w:tc>
        <w:tc>
          <w:tcPr>
            <w:tcW w:w="4416" w:type="dxa"/>
            <w:tcBorders>
              <w:top w:val="single" w:sz="4" w:space="0" w:color="auto"/>
              <w:left w:val="single" w:sz="4" w:space="0" w:color="auto"/>
              <w:bottom w:val="single" w:sz="4" w:space="0" w:color="auto"/>
              <w:right w:val="single" w:sz="4" w:space="0" w:color="auto"/>
            </w:tcBorders>
          </w:tcPr>
          <w:p w14:paraId="7F4531FE" w14:textId="4E6A8AB1" w:rsidR="009E247B" w:rsidRPr="000016AF" w:rsidRDefault="008F7E8E">
            <w:pPr>
              <w:rPr>
                <w:rFonts w:cs="Arial"/>
                <w:lang w:val="es-ES"/>
              </w:rPr>
            </w:pPr>
            <w:r w:rsidRPr="008F7E8E">
              <w:rPr>
                <w:rFonts w:cs="Arial"/>
                <w:lang w:val="es-ES"/>
              </w:rPr>
              <w:t>Asesoramiento o apoyo proporcionado por un profesional de un campo específico a un participante, adaptándolo a las necesidades de este y</w:t>
            </w:r>
            <w:r>
              <w:rPr>
                <w:rFonts w:cs="Arial"/>
                <w:lang w:val="es-ES"/>
              </w:rPr>
              <w:t xml:space="preserve"> realizado</w:t>
            </w:r>
            <w:r w:rsidRPr="008F7E8E">
              <w:rPr>
                <w:rFonts w:cs="Arial"/>
                <w:lang w:val="es-ES"/>
              </w:rPr>
              <w:t xml:space="preserve"> de forma individual o en pequeños grupos. Por ejemplo, se entenderán como apoyo la evaluación de competencias, el coaching o las sesiones de tutoría</w:t>
            </w:r>
            <w:r>
              <w:rPr>
                <w:rFonts w:cs="Arial"/>
                <w:lang w:val="es-ES"/>
              </w:rPr>
              <w:t>, entre otros</w:t>
            </w:r>
            <w:r w:rsidRPr="008F7E8E">
              <w:rPr>
                <w:rFonts w:cs="Arial"/>
                <w:lang w:val="es-ES"/>
              </w:rPr>
              <w:t>.</w:t>
            </w:r>
          </w:p>
        </w:tc>
        <w:tc>
          <w:tcPr>
            <w:tcW w:w="2518" w:type="dxa"/>
            <w:tcBorders>
              <w:top w:val="single" w:sz="4" w:space="0" w:color="auto"/>
              <w:left w:val="single" w:sz="4" w:space="0" w:color="auto"/>
              <w:bottom w:val="single" w:sz="4" w:space="0" w:color="auto"/>
              <w:right w:val="single" w:sz="4" w:space="0" w:color="auto"/>
            </w:tcBorders>
            <w:hideMark/>
          </w:tcPr>
          <w:p w14:paraId="1C9BCCB2" w14:textId="77777777" w:rsidR="009E247B" w:rsidRPr="00582952" w:rsidRDefault="009E247B">
            <w:pPr>
              <w:rPr>
                <w:rFonts w:cs="Arial"/>
                <w:lang w:val="en-AU"/>
              </w:rPr>
            </w:pPr>
            <w:r w:rsidRPr="00582952">
              <w:rPr>
                <w:rFonts w:cs="Arial"/>
                <w:lang w:val="en-AU"/>
              </w:rPr>
              <w:t>AMIF Indicator Fiche</w:t>
            </w:r>
          </w:p>
          <w:p w14:paraId="2008800A" w14:textId="6DAA5D55" w:rsidR="009E247B" w:rsidRPr="0073548D" w:rsidRDefault="009E247B">
            <w:pPr>
              <w:rPr>
                <w:rFonts w:cs="Arial"/>
                <w:lang w:val="en-AU"/>
              </w:rPr>
            </w:pPr>
            <w:r w:rsidRPr="00582952">
              <w:rPr>
                <w:rFonts w:cs="Arial"/>
                <w:lang w:val="en-AU"/>
              </w:rPr>
              <w:t xml:space="preserve">(AMIF Indicator Fiche, </w:t>
            </w:r>
            <w:r w:rsidR="00B87535">
              <w:rPr>
                <w:rFonts w:cs="Arial"/>
                <w:lang w:val="en-AU"/>
              </w:rPr>
              <w:t xml:space="preserve">Ref. </w:t>
            </w:r>
            <w:proofErr w:type="gramStart"/>
            <w:r w:rsidR="00B87535">
              <w:rPr>
                <w:rFonts w:cs="Arial"/>
                <w:lang w:val="en-AU"/>
              </w:rPr>
              <w:t>Ares(</w:t>
            </w:r>
            <w:proofErr w:type="gramEnd"/>
            <w:r w:rsidR="00B87535">
              <w:rPr>
                <w:rFonts w:cs="Arial"/>
                <w:lang w:val="en-AU"/>
              </w:rPr>
              <w:t>2022)1238557 – 18/02/2022).</w:t>
            </w:r>
          </w:p>
        </w:tc>
      </w:tr>
      <w:tr w:rsidR="009E247B" w:rsidRPr="000A250C" w14:paraId="2A08E60D"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794E1B73" w14:textId="77777777" w:rsidR="009E247B" w:rsidRPr="000016AF" w:rsidRDefault="009E247B">
            <w:pPr>
              <w:rPr>
                <w:rFonts w:cs="Arial"/>
                <w:lang w:val="es-ES"/>
              </w:rPr>
            </w:pPr>
            <w:r w:rsidRPr="000016AF">
              <w:rPr>
                <w:rFonts w:cs="Arial"/>
                <w:lang w:val="es-ES"/>
              </w:rPr>
              <w:t>Paquete de información</w:t>
            </w:r>
          </w:p>
        </w:tc>
        <w:tc>
          <w:tcPr>
            <w:tcW w:w="4416" w:type="dxa"/>
            <w:tcBorders>
              <w:top w:val="single" w:sz="4" w:space="0" w:color="auto"/>
              <w:left w:val="single" w:sz="4" w:space="0" w:color="auto"/>
              <w:bottom w:val="single" w:sz="4" w:space="0" w:color="auto"/>
              <w:right w:val="single" w:sz="4" w:space="0" w:color="auto"/>
            </w:tcBorders>
            <w:hideMark/>
          </w:tcPr>
          <w:p w14:paraId="005FEED2" w14:textId="3F25802D" w:rsidR="009E247B" w:rsidRPr="000016AF" w:rsidRDefault="008F7E8E">
            <w:pPr>
              <w:rPr>
                <w:rFonts w:cs="Arial"/>
                <w:lang w:val="es-ES"/>
              </w:rPr>
            </w:pPr>
            <w:r w:rsidRPr="0073548D">
              <w:rPr>
                <w:lang w:val="es-ES"/>
              </w:rPr>
              <w:t>Conjunto de documentos que se entregan a los participantes en una operación. Cada paquete puede contener uno o varios tipos de documentación, y se contabilizará independientemente del número de copias de folletos o carteles que lo compongan.</w:t>
            </w:r>
          </w:p>
        </w:tc>
        <w:tc>
          <w:tcPr>
            <w:tcW w:w="2518" w:type="dxa"/>
            <w:tcBorders>
              <w:top w:val="single" w:sz="4" w:space="0" w:color="auto"/>
              <w:left w:val="single" w:sz="4" w:space="0" w:color="auto"/>
              <w:bottom w:val="single" w:sz="4" w:space="0" w:color="auto"/>
              <w:right w:val="single" w:sz="4" w:space="0" w:color="auto"/>
            </w:tcBorders>
            <w:hideMark/>
          </w:tcPr>
          <w:p w14:paraId="7B59958C" w14:textId="77777777" w:rsidR="009E247B" w:rsidRPr="00582952" w:rsidRDefault="009E247B">
            <w:pPr>
              <w:rPr>
                <w:rFonts w:cs="Arial"/>
                <w:lang w:val="en-AU"/>
              </w:rPr>
            </w:pPr>
            <w:r w:rsidRPr="00582952">
              <w:rPr>
                <w:rFonts w:cs="Arial"/>
                <w:lang w:val="en-AU"/>
              </w:rPr>
              <w:t>AMIF Indicator Fiche</w:t>
            </w:r>
          </w:p>
          <w:p w14:paraId="36CB22F5" w14:textId="09624B46" w:rsidR="009E247B" w:rsidRPr="0073548D" w:rsidRDefault="009E247B">
            <w:pPr>
              <w:rPr>
                <w:rFonts w:cs="Arial"/>
                <w:lang w:val="en-AU"/>
              </w:rPr>
            </w:pPr>
            <w:r w:rsidRPr="00582952">
              <w:rPr>
                <w:lang w:val="en-AU"/>
              </w:rPr>
              <w:t xml:space="preserve">(AMIF Indicator Fiche, </w:t>
            </w:r>
            <w:r w:rsidR="00B87535">
              <w:rPr>
                <w:lang w:val="en-AU"/>
              </w:rPr>
              <w:t xml:space="preserve">Ref. </w:t>
            </w:r>
            <w:proofErr w:type="gramStart"/>
            <w:r w:rsidR="00B87535">
              <w:rPr>
                <w:lang w:val="en-AU"/>
              </w:rPr>
              <w:t>Ares(</w:t>
            </w:r>
            <w:proofErr w:type="gramEnd"/>
            <w:r w:rsidR="00B87535">
              <w:rPr>
                <w:lang w:val="en-AU"/>
              </w:rPr>
              <w:t>2022)1238557 – 18/02/2022).</w:t>
            </w:r>
          </w:p>
        </w:tc>
      </w:tr>
      <w:tr w:rsidR="009E247B" w:rsidRPr="000A250C" w14:paraId="66E3196C"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326E3A6B" w14:textId="77777777" w:rsidR="009E247B" w:rsidRPr="000016AF" w:rsidRDefault="009E247B">
            <w:pPr>
              <w:rPr>
                <w:rFonts w:cs="Arial"/>
                <w:lang w:val="es-ES"/>
              </w:rPr>
            </w:pPr>
            <w:r w:rsidRPr="000016AF">
              <w:rPr>
                <w:rFonts w:cs="Arial"/>
                <w:lang w:val="es-ES"/>
              </w:rPr>
              <w:lastRenderedPageBreak/>
              <w:t>Participante</w:t>
            </w:r>
          </w:p>
        </w:tc>
        <w:tc>
          <w:tcPr>
            <w:tcW w:w="4416" w:type="dxa"/>
            <w:tcBorders>
              <w:top w:val="single" w:sz="4" w:space="0" w:color="auto"/>
              <w:left w:val="single" w:sz="4" w:space="0" w:color="auto"/>
              <w:bottom w:val="single" w:sz="4" w:space="0" w:color="auto"/>
              <w:right w:val="single" w:sz="4" w:space="0" w:color="auto"/>
            </w:tcBorders>
            <w:hideMark/>
          </w:tcPr>
          <w:p w14:paraId="49C3EF77" w14:textId="77777777" w:rsidR="009E247B" w:rsidRPr="000016AF" w:rsidRDefault="009E247B">
            <w:pPr>
              <w:rPr>
                <w:rFonts w:cs="Arial"/>
                <w:lang w:val="es-ES"/>
              </w:rPr>
            </w:pPr>
            <w:r w:rsidRPr="000016AF">
              <w:rPr>
                <w:rFonts w:cs="Arial"/>
                <w:shd w:val="clear" w:color="auto" w:fill="FFFFFF"/>
                <w:lang w:val="es-ES"/>
              </w:rPr>
              <w:t xml:space="preserve">Persona física que se beneficia directamente de una operación sin ser responsable de la iniciación, o de la iniciación y ejecución, de dicha operación. </w:t>
            </w:r>
          </w:p>
        </w:tc>
        <w:tc>
          <w:tcPr>
            <w:tcW w:w="2518" w:type="dxa"/>
            <w:tcBorders>
              <w:top w:val="single" w:sz="4" w:space="0" w:color="auto"/>
              <w:left w:val="single" w:sz="4" w:space="0" w:color="auto"/>
              <w:bottom w:val="single" w:sz="4" w:space="0" w:color="auto"/>
              <w:right w:val="single" w:sz="4" w:space="0" w:color="auto"/>
            </w:tcBorders>
            <w:hideMark/>
          </w:tcPr>
          <w:p w14:paraId="7CC684D7" w14:textId="77777777" w:rsidR="009E247B" w:rsidRPr="000016AF" w:rsidRDefault="009E247B">
            <w:pPr>
              <w:rPr>
                <w:rFonts w:cs="Arial"/>
                <w:lang w:val="es-ES"/>
              </w:rPr>
            </w:pPr>
            <w:r w:rsidRPr="000016AF">
              <w:rPr>
                <w:rFonts w:cs="Arial"/>
                <w:lang w:val="es-ES"/>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tc>
      </w:tr>
      <w:tr w:rsidR="009E247B" w:rsidRPr="000A250C" w14:paraId="0DDB74D4"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3153450A" w14:textId="77777777" w:rsidR="009E247B" w:rsidRPr="000016AF" w:rsidRDefault="009E247B">
            <w:pPr>
              <w:rPr>
                <w:rFonts w:cs="Arial"/>
                <w:lang w:val="es-ES"/>
              </w:rPr>
            </w:pPr>
            <w:r w:rsidRPr="000016AF">
              <w:rPr>
                <w:rFonts w:cs="Arial"/>
                <w:lang w:val="es-ES"/>
              </w:rPr>
              <w:t xml:space="preserve">Participante vulnerable </w:t>
            </w:r>
          </w:p>
        </w:tc>
        <w:tc>
          <w:tcPr>
            <w:tcW w:w="4416" w:type="dxa"/>
            <w:tcBorders>
              <w:top w:val="single" w:sz="4" w:space="0" w:color="auto"/>
              <w:left w:val="single" w:sz="4" w:space="0" w:color="auto"/>
              <w:bottom w:val="single" w:sz="4" w:space="0" w:color="auto"/>
              <w:right w:val="single" w:sz="4" w:space="0" w:color="auto"/>
            </w:tcBorders>
            <w:hideMark/>
          </w:tcPr>
          <w:p w14:paraId="628C4D53" w14:textId="77777777" w:rsidR="009E247B" w:rsidRPr="000016AF" w:rsidRDefault="009E247B">
            <w:pPr>
              <w:rPr>
                <w:rFonts w:cs="Arial"/>
                <w:lang w:val="es-ES"/>
              </w:rPr>
            </w:pPr>
            <w:r w:rsidRPr="000016AF">
              <w:rPr>
                <w:rFonts w:cs="Arial"/>
                <w:lang w:val="es-ES"/>
              </w:rPr>
              <w:t>Aquel participante que pertenecen a alguno de los siguientes grupos:</w:t>
            </w:r>
          </w:p>
          <w:p w14:paraId="3B7F47F0" w14:textId="77777777" w:rsidR="009E247B" w:rsidRPr="000016AF" w:rsidRDefault="009E247B" w:rsidP="009E247B">
            <w:pPr>
              <w:pStyle w:val="Prrafodelista"/>
              <w:numPr>
                <w:ilvl w:val="0"/>
                <w:numId w:val="14"/>
              </w:numPr>
              <w:contextualSpacing w:val="0"/>
              <w:rPr>
                <w:rFonts w:cs="Arial"/>
                <w:lang w:val="es-ES"/>
              </w:rPr>
            </w:pPr>
            <w:r w:rsidRPr="000016AF">
              <w:rPr>
                <w:rFonts w:cs="Arial"/>
                <w:lang w:val="es-ES"/>
              </w:rPr>
              <w:t xml:space="preserve">menores, </w:t>
            </w:r>
          </w:p>
          <w:p w14:paraId="1CF7936A" w14:textId="77777777" w:rsidR="009E247B" w:rsidRPr="000016AF" w:rsidRDefault="009E247B" w:rsidP="009E247B">
            <w:pPr>
              <w:pStyle w:val="Prrafodelista"/>
              <w:numPr>
                <w:ilvl w:val="0"/>
                <w:numId w:val="14"/>
              </w:numPr>
              <w:contextualSpacing w:val="0"/>
              <w:rPr>
                <w:rFonts w:cs="Arial"/>
                <w:lang w:val="es-ES"/>
              </w:rPr>
            </w:pPr>
            <w:r w:rsidRPr="000016AF">
              <w:rPr>
                <w:rFonts w:cs="Arial"/>
                <w:lang w:val="es-ES"/>
              </w:rPr>
              <w:t xml:space="preserve">menores no acompañados, </w:t>
            </w:r>
          </w:p>
          <w:p w14:paraId="60DEF916" w14:textId="77777777" w:rsidR="009E247B" w:rsidRPr="000016AF" w:rsidRDefault="009E247B" w:rsidP="009E247B">
            <w:pPr>
              <w:pStyle w:val="Prrafodelista"/>
              <w:numPr>
                <w:ilvl w:val="0"/>
                <w:numId w:val="14"/>
              </w:numPr>
              <w:contextualSpacing w:val="0"/>
              <w:rPr>
                <w:rFonts w:cs="Arial"/>
                <w:lang w:val="es-ES"/>
              </w:rPr>
            </w:pPr>
            <w:r w:rsidRPr="000016AF">
              <w:rPr>
                <w:rFonts w:cs="Arial"/>
                <w:lang w:val="es-ES"/>
              </w:rPr>
              <w:t xml:space="preserve">personas discapacitadas, </w:t>
            </w:r>
          </w:p>
          <w:p w14:paraId="6506A7F1" w14:textId="77777777" w:rsidR="009E247B" w:rsidRPr="000016AF" w:rsidRDefault="009E247B" w:rsidP="009E247B">
            <w:pPr>
              <w:pStyle w:val="Prrafodelista"/>
              <w:numPr>
                <w:ilvl w:val="0"/>
                <w:numId w:val="14"/>
              </w:numPr>
              <w:contextualSpacing w:val="0"/>
              <w:rPr>
                <w:rFonts w:cs="Arial"/>
                <w:lang w:val="es-ES"/>
              </w:rPr>
            </w:pPr>
            <w:r w:rsidRPr="000016AF">
              <w:rPr>
                <w:rFonts w:cs="Arial"/>
                <w:lang w:val="es-ES"/>
              </w:rPr>
              <w:t xml:space="preserve">ancianos, </w:t>
            </w:r>
          </w:p>
          <w:p w14:paraId="4B65B86B" w14:textId="77777777" w:rsidR="009E247B" w:rsidRPr="000016AF" w:rsidRDefault="009E247B" w:rsidP="009E247B">
            <w:pPr>
              <w:pStyle w:val="Prrafodelista"/>
              <w:numPr>
                <w:ilvl w:val="0"/>
                <w:numId w:val="14"/>
              </w:numPr>
              <w:contextualSpacing w:val="0"/>
              <w:rPr>
                <w:rFonts w:cs="Arial"/>
                <w:lang w:val="es-ES"/>
              </w:rPr>
            </w:pPr>
            <w:r w:rsidRPr="000016AF">
              <w:rPr>
                <w:rFonts w:cs="Arial"/>
                <w:lang w:val="es-ES"/>
              </w:rPr>
              <w:t>mujeres embarazadas,</w:t>
            </w:r>
          </w:p>
          <w:p w14:paraId="1860C1FB" w14:textId="77777777" w:rsidR="009E247B" w:rsidRPr="000016AF" w:rsidRDefault="009E247B" w:rsidP="009E247B">
            <w:pPr>
              <w:pStyle w:val="Prrafodelista"/>
              <w:numPr>
                <w:ilvl w:val="0"/>
                <w:numId w:val="14"/>
              </w:numPr>
              <w:contextualSpacing w:val="0"/>
              <w:rPr>
                <w:rFonts w:cs="Arial"/>
                <w:lang w:val="es-ES"/>
              </w:rPr>
            </w:pPr>
            <w:r w:rsidRPr="000016AF">
              <w:rPr>
                <w:rFonts w:cs="Arial"/>
                <w:lang w:val="es-ES"/>
              </w:rPr>
              <w:t xml:space="preserve">padres solos con hijos menores y </w:t>
            </w:r>
          </w:p>
          <w:p w14:paraId="52FE7D3E" w14:textId="77777777" w:rsidR="009E247B" w:rsidRPr="000016AF" w:rsidRDefault="009E247B" w:rsidP="009E247B">
            <w:pPr>
              <w:pStyle w:val="Prrafodelista"/>
              <w:numPr>
                <w:ilvl w:val="0"/>
                <w:numId w:val="14"/>
              </w:numPr>
              <w:contextualSpacing w:val="0"/>
              <w:rPr>
                <w:rFonts w:cs="Arial"/>
                <w:lang w:val="es-ES"/>
              </w:rPr>
            </w:pPr>
            <w:r w:rsidRPr="000016AF">
              <w:rPr>
                <w:rFonts w:cs="Arial"/>
                <w:lang w:val="es-ES"/>
              </w:rPr>
              <w:t>personas que hayan padecido tortura, violación u otras formas graves de violencia psicológica, física o sexual.</w:t>
            </w:r>
          </w:p>
        </w:tc>
        <w:tc>
          <w:tcPr>
            <w:tcW w:w="2518" w:type="dxa"/>
            <w:tcBorders>
              <w:top w:val="single" w:sz="4" w:space="0" w:color="auto"/>
              <w:left w:val="single" w:sz="4" w:space="0" w:color="auto"/>
              <w:bottom w:val="single" w:sz="4" w:space="0" w:color="auto"/>
              <w:right w:val="single" w:sz="4" w:space="0" w:color="auto"/>
            </w:tcBorders>
            <w:hideMark/>
          </w:tcPr>
          <w:p w14:paraId="0817A32C" w14:textId="77777777" w:rsidR="009E247B" w:rsidRPr="000016AF" w:rsidRDefault="009E247B">
            <w:pPr>
              <w:rPr>
                <w:rFonts w:cs="Arial"/>
                <w:lang w:val="es-ES"/>
              </w:rPr>
            </w:pPr>
            <w:r w:rsidRPr="000016AF">
              <w:rPr>
                <w:rFonts w:cs="Arial"/>
                <w:lang w:val="es-ES"/>
              </w:rPr>
              <w:t>Directiva 2008/115/CE del Parlamento Europeo y del Consejo de 16 de diciembre de 2008 relativa a normas y procedimientos comunes en los Estados miembros para el retorno de los nacionales de terceros países en situación irregular.</w:t>
            </w:r>
          </w:p>
        </w:tc>
      </w:tr>
      <w:tr w:rsidR="009E247B" w:rsidRPr="000A250C" w14:paraId="2ED009A9" w14:textId="77777777" w:rsidTr="009E247B">
        <w:trPr>
          <w:cantSplit/>
        </w:trPr>
        <w:tc>
          <w:tcPr>
            <w:tcW w:w="1990" w:type="dxa"/>
            <w:tcBorders>
              <w:top w:val="single" w:sz="4" w:space="0" w:color="auto"/>
              <w:left w:val="single" w:sz="4" w:space="0" w:color="auto"/>
              <w:bottom w:val="single" w:sz="4" w:space="0" w:color="auto"/>
              <w:right w:val="single" w:sz="4" w:space="0" w:color="auto"/>
            </w:tcBorders>
          </w:tcPr>
          <w:p w14:paraId="371D9214" w14:textId="77777777" w:rsidR="009E247B" w:rsidRPr="000016AF" w:rsidRDefault="009E247B">
            <w:pPr>
              <w:rPr>
                <w:rFonts w:cs="Arial"/>
                <w:lang w:val="es-ES"/>
              </w:rPr>
            </w:pPr>
            <w:r w:rsidRPr="000016AF">
              <w:rPr>
                <w:rFonts w:cs="Arial"/>
                <w:lang w:val="es-ES"/>
              </w:rPr>
              <w:t>Plan de movilidad</w:t>
            </w:r>
          </w:p>
          <w:p w14:paraId="0479D16D" w14:textId="77777777" w:rsidR="009E247B" w:rsidRPr="000016AF" w:rsidRDefault="009E247B">
            <w:pPr>
              <w:rPr>
                <w:rFonts w:cs="Arial"/>
                <w:lang w:val="es-ES"/>
              </w:rPr>
            </w:pPr>
          </w:p>
        </w:tc>
        <w:tc>
          <w:tcPr>
            <w:tcW w:w="4416" w:type="dxa"/>
            <w:tcBorders>
              <w:top w:val="single" w:sz="4" w:space="0" w:color="auto"/>
              <w:left w:val="single" w:sz="4" w:space="0" w:color="auto"/>
              <w:bottom w:val="single" w:sz="4" w:space="0" w:color="auto"/>
              <w:right w:val="single" w:sz="4" w:space="0" w:color="auto"/>
            </w:tcBorders>
            <w:hideMark/>
          </w:tcPr>
          <w:p w14:paraId="5063F300" w14:textId="77777777" w:rsidR="009E247B" w:rsidRPr="000016AF" w:rsidRDefault="009E247B">
            <w:pPr>
              <w:rPr>
                <w:rFonts w:cs="Arial"/>
                <w:lang w:val="es-ES"/>
              </w:rPr>
            </w:pPr>
            <w:r w:rsidRPr="000016AF">
              <w:rPr>
                <w:rFonts w:cs="Arial"/>
                <w:lang w:val="es-ES"/>
              </w:rPr>
              <w:t>Programa que brinda oportunidades para que las personas que residen en un tercer país vengan a la UE con fines de estudio, capacitación o trabajo. Incluyen esquemas para la migración temporal y de largo plazo, así como la migración circular.</w:t>
            </w:r>
          </w:p>
        </w:tc>
        <w:tc>
          <w:tcPr>
            <w:tcW w:w="2518" w:type="dxa"/>
            <w:tcBorders>
              <w:top w:val="single" w:sz="4" w:space="0" w:color="auto"/>
              <w:left w:val="single" w:sz="4" w:space="0" w:color="auto"/>
              <w:bottom w:val="single" w:sz="4" w:space="0" w:color="auto"/>
              <w:right w:val="single" w:sz="4" w:space="0" w:color="auto"/>
            </w:tcBorders>
            <w:hideMark/>
          </w:tcPr>
          <w:p w14:paraId="256E2DE1" w14:textId="77777777" w:rsidR="009E247B" w:rsidRPr="00582952" w:rsidRDefault="009E247B">
            <w:pPr>
              <w:rPr>
                <w:rFonts w:cs="Arial"/>
                <w:lang w:val="en-AU"/>
              </w:rPr>
            </w:pPr>
            <w:r w:rsidRPr="00582952">
              <w:rPr>
                <w:rFonts w:cs="Arial"/>
                <w:lang w:val="en-AU"/>
              </w:rPr>
              <w:t>AMIF Indicator Fiche</w:t>
            </w:r>
          </w:p>
          <w:p w14:paraId="0EE2D347" w14:textId="4958FCAB" w:rsidR="009E247B" w:rsidRPr="0073548D" w:rsidRDefault="009E247B">
            <w:pPr>
              <w:rPr>
                <w:rFonts w:cs="Arial"/>
                <w:lang w:val="en-AU"/>
              </w:rPr>
            </w:pPr>
            <w:r w:rsidRPr="00582952">
              <w:rPr>
                <w:lang w:val="en-AU"/>
              </w:rPr>
              <w:t xml:space="preserve">(AMIF Indicator Fiche, </w:t>
            </w:r>
            <w:r w:rsidR="00B87535">
              <w:rPr>
                <w:lang w:val="en-AU"/>
              </w:rPr>
              <w:t xml:space="preserve">Ref. </w:t>
            </w:r>
            <w:proofErr w:type="gramStart"/>
            <w:r w:rsidR="00B87535">
              <w:rPr>
                <w:lang w:val="en-AU"/>
              </w:rPr>
              <w:t>Ares(</w:t>
            </w:r>
            <w:proofErr w:type="gramEnd"/>
            <w:r w:rsidR="00B87535">
              <w:rPr>
                <w:lang w:val="en-AU"/>
              </w:rPr>
              <w:t>2022)1238557 – 18/02/2022).</w:t>
            </w:r>
          </w:p>
        </w:tc>
      </w:tr>
      <w:tr w:rsidR="009E247B" w:rsidRPr="000A250C" w14:paraId="35892A8E"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7E0F5B14" w14:textId="77777777" w:rsidR="009E247B" w:rsidRPr="000016AF" w:rsidRDefault="009E247B">
            <w:pPr>
              <w:rPr>
                <w:rFonts w:cs="Arial"/>
                <w:lang w:val="es-ES"/>
              </w:rPr>
            </w:pPr>
            <w:r w:rsidRPr="000016AF">
              <w:rPr>
                <w:rFonts w:cs="Arial"/>
                <w:lang w:val="es-ES"/>
              </w:rPr>
              <w:lastRenderedPageBreak/>
              <w:t>Plaza</w:t>
            </w:r>
          </w:p>
        </w:tc>
        <w:tc>
          <w:tcPr>
            <w:tcW w:w="4416" w:type="dxa"/>
            <w:tcBorders>
              <w:top w:val="single" w:sz="4" w:space="0" w:color="auto"/>
              <w:left w:val="single" w:sz="4" w:space="0" w:color="auto"/>
              <w:bottom w:val="single" w:sz="4" w:space="0" w:color="auto"/>
              <w:right w:val="single" w:sz="4" w:space="0" w:color="auto"/>
            </w:tcBorders>
            <w:hideMark/>
          </w:tcPr>
          <w:p w14:paraId="2E26016F" w14:textId="77777777" w:rsidR="009E247B" w:rsidRPr="000016AF" w:rsidRDefault="009E247B">
            <w:pPr>
              <w:rPr>
                <w:rFonts w:cs="Arial"/>
                <w:lang w:val="es-ES"/>
              </w:rPr>
            </w:pPr>
            <w:r w:rsidRPr="000016AF">
              <w:rPr>
                <w:rFonts w:cs="Arial"/>
                <w:lang w:val="es-ES"/>
              </w:rPr>
              <w:t>Cama o lugar para dormir en un centro de acuerdo con el acervo de la Unión aplicable.</w:t>
            </w:r>
          </w:p>
        </w:tc>
        <w:tc>
          <w:tcPr>
            <w:tcW w:w="2518" w:type="dxa"/>
            <w:tcBorders>
              <w:top w:val="single" w:sz="4" w:space="0" w:color="auto"/>
              <w:left w:val="single" w:sz="4" w:space="0" w:color="auto"/>
              <w:bottom w:val="single" w:sz="4" w:space="0" w:color="auto"/>
              <w:right w:val="single" w:sz="4" w:space="0" w:color="auto"/>
            </w:tcBorders>
            <w:hideMark/>
          </w:tcPr>
          <w:p w14:paraId="0311B9D9" w14:textId="77777777" w:rsidR="009E247B" w:rsidRPr="00582952" w:rsidRDefault="009E247B">
            <w:pPr>
              <w:rPr>
                <w:rFonts w:cs="Arial"/>
                <w:lang w:val="en-AU"/>
              </w:rPr>
            </w:pPr>
            <w:r w:rsidRPr="00582952">
              <w:rPr>
                <w:rFonts w:cs="Arial"/>
                <w:lang w:val="en-AU"/>
              </w:rPr>
              <w:t>AMIF Indicator Fiche</w:t>
            </w:r>
          </w:p>
          <w:p w14:paraId="5A1367FD" w14:textId="79CC6E64" w:rsidR="009E247B" w:rsidRPr="0073548D" w:rsidRDefault="009E247B">
            <w:pPr>
              <w:rPr>
                <w:rFonts w:cs="Arial"/>
                <w:lang w:val="en-AU"/>
              </w:rPr>
            </w:pPr>
            <w:r w:rsidRPr="00582952">
              <w:rPr>
                <w:rFonts w:cs="Arial"/>
                <w:lang w:val="en-AU"/>
              </w:rPr>
              <w:t xml:space="preserve">(AMIF Indicator Fiche, </w:t>
            </w:r>
            <w:r w:rsidR="00B87535">
              <w:rPr>
                <w:rFonts w:cs="Arial"/>
                <w:lang w:val="en-AU"/>
              </w:rPr>
              <w:t xml:space="preserve">Ref. </w:t>
            </w:r>
            <w:proofErr w:type="gramStart"/>
            <w:r w:rsidR="00B87535">
              <w:rPr>
                <w:rFonts w:cs="Arial"/>
                <w:lang w:val="en-AU"/>
              </w:rPr>
              <w:t>Ares(</w:t>
            </w:r>
            <w:proofErr w:type="gramEnd"/>
            <w:r w:rsidR="00B87535">
              <w:rPr>
                <w:rFonts w:cs="Arial"/>
                <w:lang w:val="en-AU"/>
              </w:rPr>
              <w:t>2022)1238557 – 18/02/2022).</w:t>
            </w:r>
          </w:p>
        </w:tc>
      </w:tr>
      <w:tr w:rsidR="009E247B" w:rsidRPr="000A250C" w14:paraId="4EB4E046"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6A326BAA" w14:textId="77777777" w:rsidR="009E247B" w:rsidRPr="000016AF" w:rsidRDefault="009E247B">
            <w:pPr>
              <w:rPr>
                <w:rFonts w:cs="Arial"/>
                <w:lang w:val="es-ES"/>
              </w:rPr>
            </w:pPr>
            <w:r w:rsidRPr="000016AF">
              <w:rPr>
                <w:rFonts w:cs="Arial"/>
                <w:lang w:val="es-ES"/>
              </w:rPr>
              <w:t>Plaza de nueva creación</w:t>
            </w:r>
          </w:p>
        </w:tc>
        <w:tc>
          <w:tcPr>
            <w:tcW w:w="4416" w:type="dxa"/>
            <w:tcBorders>
              <w:top w:val="single" w:sz="4" w:space="0" w:color="auto"/>
              <w:left w:val="single" w:sz="4" w:space="0" w:color="auto"/>
              <w:bottom w:val="single" w:sz="4" w:space="0" w:color="auto"/>
              <w:right w:val="single" w:sz="4" w:space="0" w:color="auto"/>
            </w:tcBorders>
            <w:hideMark/>
          </w:tcPr>
          <w:p w14:paraId="2B59500C" w14:textId="77777777" w:rsidR="009E247B" w:rsidRPr="000016AF" w:rsidRDefault="009E247B">
            <w:pPr>
              <w:rPr>
                <w:rFonts w:cs="Arial"/>
                <w:lang w:val="es-ES"/>
              </w:rPr>
            </w:pPr>
            <w:r w:rsidRPr="000016AF">
              <w:rPr>
                <w:rFonts w:cs="Arial"/>
                <w:lang w:val="es-ES"/>
              </w:rPr>
              <w:t>Aquella plaza que antes no existía para este fin (por ejemplo, un lugar en un edificio que antes no se utilizaba como centro de detención para mantener detenidos a los nacionales de terceros países se considera un "lugar creado"). Excluye expresamente la renovación y el reequipamiento.</w:t>
            </w:r>
          </w:p>
        </w:tc>
        <w:tc>
          <w:tcPr>
            <w:tcW w:w="2518" w:type="dxa"/>
            <w:tcBorders>
              <w:top w:val="single" w:sz="4" w:space="0" w:color="auto"/>
              <w:left w:val="single" w:sz="4" w:space="0" w:color="auto"/>
              <w:bottom w:val="single" w:sz="4" w:space="0" w:color="auto"/>
              <w:right w:val="single" w:sz="4" w:space="0" w:color="auto"/>
            </w:tcBorders>
            <w:hideMark/>
          </w:tcPr>
          <w:p w14:paraId="1C60966E" w14:textId="77777777" w:rsidR="009E247B" w:rsidRPr="00582952" w:rsidRDefault="009E247B">
            <w:pPr>
              <w:rPr>
                <w:rFonts w:cs="Arial"/>
                <w:lang w:val="en-AU"/>
              </w:rPr>
            </w:pPr>
            <w:r w:rsidRPr="00582952">
              <w:rPr>
                <w:rFonts w:cs="Arial"/>
                <w:lang w:val="en-AU"/>
              </w:rPr>
              <w:t>AMIF Indicator Fiche</w:t>
            </w:r>
          </w:p>
          <w:p w14:paraId="4077CB09" w14:textId="3BEDA2D8" w:rsidR="009E247B" w:rsidRPr="0073548D" w:rsidRDefault="009E247B">
            <w:pPr>
              <w:rPr>
                <w:rFonts w:cs="Arial"/>
                <w:lang w:val="en-AU"/>
              </w:rPr>
            </w:pPr>
            <w:r w:rsidRPr="00582952">
              <w:rPr>
                <w:rFonts w:cs="Arial"/>
                <w:lang w:val="en-AU"/>
              </w:rPr>
              <w:t xml:space="preserve">(AMIF Indicator Fiche, </w:t>
            </w:r>
            <w:r w:rsidR="00B87535">
              <w:rPr>
                <w:rFonts w:cs="Arial"/>
                <w:lang w:val="en-AU"/>
              </w:rPr>
              <w:t xml:space="preserve">Ref. </w:t>
            </w:r>
            <w:proofErr w:type="gramStart"/>
            <w:r w:rsidR="00B87535">
              <w:rPr>
                <w:rFonts w:cs="Arial"/>
                <w:lang w:val="en-AU"/>
              </w:rPr>
              <w:t>Ares(</w:t>
            </w:r>
            <w:proofErr w:type="gramEnd"/>
            <w:r w:rsidR="00B87535">
              <w:rPr>
                <w:rFonts w:cs="Arial"/>
                <w:lang w:val="en-AU"/>
              </w:rPr>
              <w:t>2022)1238557 – 18/02/2022).</w:t>
            </w:r>
          </w:p>
        </w:tc>
      </w:tr>
      <w:tr w:rsidR="00FA7688" w:rsidRPr="000A250C" w14:paraId="5444BF36" w14:textId="77777777" w:rsidTr="009E247B">
        <w:trPr>
          <w:cantSplit/>
        </w:trPr>
        <w:tc>
          <w:tcPr>
            <w:tcW w:w="1990" w:type="dxa"/>
            <w:tcBorders>
              <w:top w:val="single" w:sz="4" w:space="0" w:color="auto"/>
              <w:left w:val="single" w:sz="4" w:space="0" w:color="auto"/>
              <w:bottom w:val="single" w:sz="4" w:space="0" w:color="auto"/>
              <w:right w:val="single" w:sz="4" w:space="0" w:color="auto"/>
            </w:tcBorders>
          </w:tcPr>
          <w:p w14:paraId="4EB7C2C6" w14:textId="091AD54B" w:rsidR="00FA7688" w:rsidRPr="000016AF" w:rsidRDefault="00FA7688">
            <w:pPr>
              <w:rPr>
                <w:rFonts w:cs="Arial"/>
                <w:lang w:val="es-ES"/>
              </w:rPr>
            </w:pPr>
            <w:r>
              <w:rPr>
                <w:rFonts w:cs="Arial"/>
                <w:lang w:val="es-ES"/>
              </w:rPr>
              <w:t>P</w:t>
            </w:r>
            <w:r w:rsidRPr="00FA7688">
              <w:rPr>
                <w:rFonts w:cs="Arial"/>
                <w:lang w:val="es-ES"/>
              </w:rPr>
              <w:t>laza renovada/ reacondicionada</w:t>
            </w:r>
          </w:p>
        </w:tc>
        <w:tc>
          <w:tcPr>
            <w:tcW w:w="4416" w:type="dxa"/>
            <w:tcBorders>
              <w:top w:val="single" w:sz="4" w:space="0" w:color="auto"/>
              <w:left w:val="single" w:sz="4" w:space="0" w:color="auto"/>
              <w:bottom w:val="single" w:sz="4" w:space="0" w:color="auto"/>
              <w:right w:val="single" w:sz="4" w:space="0" w:color="auto"/>
            </w:tcBorders>
          </w:tcPr>
          <w:p w14:paraId="4D6964A3" w14:textId="4949EBD2" w:rsidR="00FA7688" w:rsidRPr="000016AF" w:rsidRDefault="00FA7688" w:rsidP="00FA7688">
            <w:pPr>
              <w:rPr>
                <w:rFonts w:cs="Arial"/>
                <w:lang w:val="es-ES"/>
              </w:rPr>
            </w:pPr>
            <w:r w:rsidRPr="00FA7688">
              <w:rPr>
                <w:rFonts w:cs="Arial"/>
                <w:lang w:val="es-ES"/>
              </w:rPr>
              <w:t>Aquella plaza existente en la infraestructura de acogida a la que se realizan cambios o reparaciones que mejoran s</w:t>
            </w:r>
            <w:r>
              <w:rPr>
                <w:rFonts w:cs="Arial"/>
                <w:lang w:val="es-ES"/>
              </w:rPr>
              <w:t xml:space="preserve">us condiciones, por </w:t>
            </w:r>
            <w:proofErr w:type="gramStart"/>
            <w:r>
              <w:rPr>
                <w:rFonts w:cs="Arial"/>
                <w:lang w:val="es-ES"/>
              </w:rPr>
              <w:t>ejemplo</w:t>
            </w:r>
            <w:proofErr w:type="gramEnd"/>
            <w:r>
              <w:rPr>
                <w:rFonts w:cs="Arial"/>
                <w:lang w:val="es-ES"/>
              </w:rPr>
              <w:t xml:space="preserve"> mediante reparaciones</w:t>
            </w:r>
            <w:r w:rsidRPr="00FA7688">
              <w:rPr>
                <w:rFonts w:cs="Arial"/>
                <w:lang w:val="es-ES"/>
              </w:rPr>
              <w:t>.</w:t>
            </w:r>
          </w:p>
          <w:p w14:paraId="7AB80DB4" w14:textId="17E85C1B" w:rsidR="00FA7688" w:rsidRPr="000016AF" w:rsidRDefault="00FA7688">
            <w:pPr>
              <w:rPr>
                <w:rFonts w:cs="Arial"/>
                <w:lang w:val="es-ES"/>
              </w:rPr>
            </w:pPr>
          </w:p>
        </w:tc>
        <w:tc>
          <w:tcPr>
            <w:tcW w:w="2518" w:type="dxa"/>
            <w:tcBorders>
              <w:top w:val="single" w:sz="4" w:space="0" w:color="auto"/>
              <w:left w:val="single" w:sz="4" w:space="0" w:color="auto"/>
              <w:bottom w:val="single" w:sz="4" w:space="0" w:color="auto"/>
              <w:right w:val="single" w:sz="4" w:space="0" w:color="auto"/>
            </w:tcBorders>
          </w:tcPr>
          <w:p w14:paraId="7E95A7FB" w14:textId="77777777" w:rsidR="00FA7688" w:rsidRPr="00582952" w:rsidRDefault="00FA7688" w:rsidP="00FA7688">
            <w:pPr>
              <w:rPr>
                <w:rFonts w:cs="Arial"/>
                <w:lang w:val="en-AU"/>
              </w:rPr>
            </w:pPr>
            <w:r w:rsidRPr="00582952">
              <w:rPr>
                <w:rFonts w:cs="Arial"/>
                <w:lang w:val="en-AU"/>
              </w:rPr>
              <w:t>AMIF Indicator Fiche</w:t>
            </w:r>
          </w:p>
          <w:p w14:paraId="01F2A230" w14:textId="0C6BD93B" w:rsidR="00FA7688" w:rsidRPr="00582952" w:rsidRDefault="00FA7688" w:rsidP="00FA7688">
            <w:pPr>
              <w:rPr>
                <w:rFonts w:cs="Arial"/>
                <w:lang w:val="en-AU"/>
              </w:rPr>
            </w:pPr>
            <w:r w:rsidRPr="00582952">
              <w:rPr>
                <w:rFonts w:cs="Arial"/>
                <w:lang w:val="en-AU"/>
              </w:rPr>
              <w:t xml:space="preserve">(AMIF Indicator Fiche, </w:t>
            </w:r>
            <w:r w:rsidR="00B87535">
              <w:rPr>
                <w:rFonts w:cs="Arial"/>
                <w:lang w:val="en-AU"/>
              </w:rPr>
              <w:t xml:space="preserve">Ref. </w:t>
            </w:r>
            <w:proofErr w:type="gramStart"/>
            <w:r w:rsidR="00B87535">
              <w:rPr>
                <w:rFonts w:cs="Arial"/>
                <w:lang w:val="en-AU"/>
              </w:rPr>
              <w:t>Ares(</w:t>
            </w:r>
            <w:proofErr w:type="gramEnd"/>
            <w:r w:rsidR="00B87535">
              <w:rPr>
                <w:rFonts w:cs="Arial"/>
                <w:lang w:val="en-AU"/>
              </w:rPr>
              <w:t>2022)1238557 – 18/02/2022).</w:t>
            </w:r>
          </w:p>
        </w:tc>
      </w:tr>
      <w:tr w:rsidR="009E247B" w:rsidRPr="000A250C" w14:paraId="776F01BC"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0C0CCCA0" w14:textId="77777777" w:rsidR="009E247B" w:rsidRPr="000016AF" w:rsidRDefault="009E247B">
            <w:pPr>
              <w:rPr>
                <w:rFonts w:cs="Arial"/>
                <w:lang w:val="es-ES"/>
              </w:rPr>
            </w:pPr>
            <w:r w:rsidRPr="000016AF">
              <w:rPr>
                <w:rFonts w:cs="Arial"/>
                <w:lang w:val="es-ES"/>
              </w:rPr>
              <w:t>Protección Internacional</w:t>
            </w:r>
          </w:p>
        </w:tc>
        <w:tc>
          <w:tcPr>
            <w:tcW w:w="4416" w:type="dxa"/>
            <w:tcBorders>
              <w:top w:val="single" w:sz="4" w:space="0" w:color="auto"/>
              <w:left w:val="single" w:sz="4" w:space="0" w:color="auto"/>
              <w:bottom w:val="single" w:sz="4" w:space="0" w:color="auto"/>
              <w:right w:val="single" w:sz="4" w:space="0" w:color="auto"/>
            </w:tcBorders>
            <w:hideMark/>
          </w:tcPr>
          <w:p w14:paraId="6212DEE1" w14:textId="77777777" w:rsidR="009E247B" w:rsidRPr="000016AF" w:rsidRDefault="009E247B">
            <w:pPr>
              <w:rPr>
                <w:rFonts w:cs="Arial"/>
                <w:lang w:val="es-ES"/>
              </w:rPr>
            </w:pPr>
            <w:r w:rsidRPr="000016AF">
              <w:rPr>
                <w:rFonts w:cs="Arial"/>
                <w:lang w:val="es-ES"/>
              </w:rPr>
              <w:t>Régimen legal de protección del derecho de asilo y la protección subsidiaria establecido en el derecho internacional y la normativa comunitaria, traspuesto al derecho español por la Ley 12/2009, de 30 de octubre, reguladora del derecho de asilo y de la protección subsidiaria.</w:t>
            </w:r>
          </w:p>
        </w:tc>
        <w:tc>
          <w:tcPr>
            <w:tcW w:w="2518" w:type="dxa"/>
            <w:tcBorders>
              <w:top w:val="single" w:sz="4" w:space="0" w:color="auto"/>
              <w:left w:val="single" w:sz="4" w:space="0" w:color="auto"/>
              <w:bottom w:val="single" w:sz="4" w:space="0" w:color="auto"/>
              <w:right w:val="single" w:sz="4" w:space="0" w:color="auto"/>
            </w:tcBorders>
            <w:hideMark/>
          </w:tcPr>
          <w:p w14:paraId="08FD45E4" w14:textId="77777777" w:rsidR="009E247B" w:rsidRPr="000016AF" w:rsidRDefault="009E247B">
            <w:pPr>
              <w:rPr>
                <w:rFonts w:cs="Arial"/>
                <w:lang w:val="es-ES"/>
              </w:rPr>
            </w:pPr>
            <w:r w:rsidRPr="000016AF">
              <w:rPr>
                <w:rFonts w:cs="Arial"/>
                <w:lang w:val="es-ES"/>
              </w:rPr>
              <w:t>Ley 12/2009, de 30 de octubre, reguladora del derecho de asilo y de la protección subsidiaria.</w:t>
            </w:r>
          </w:p>
        </w:tc>
      </w:tr>
      <w:tr w:rsidR="009E247B" w:rsidRPr="000016AF" w14:paraId="037FE406"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78A27531" w14:textId="77777777" w:rsidR="009E247B" w:rsidRPr="000016AF" w:rsidRDefault="009E247B">
            <w:pPr>
              <w:rPr>
                <w:rFonts w:cs="Arial"/>
                <w:lang w:val="es-ES"/>
              </w:rPr>
            </w:pPr>
            <w:r w:rsidRPr="000016AF">
              <w:rPr>
                <w:rFonts w:cs="Arial"/>
                <w:lang w:val="es-ES"/>
              </w:rPr>
              <w:t>Proyecto</w:t>
            </w:r>
          </w:p>
        </w:tc>
        <w:tc>
          <w:tcPr>
            <w:tcW w:w="4416" w:type="dxa"/>
            <w:tcBorders>
              <w:top w:val="single" w:sz="4" w:space="0" w:color="auto"/>
              <w:left w:val="single" w:sz="4" w:space="0" w:color="auto"/>
              <w:bottom w:val="single" w:sz="4" w:space="0" w:color="auto"/>
              <w:right w:val="single" w:sz="4" w:space="0" w:color="auto"/>
            </w:tcBorders>
            <w:hideMark/>
          </w:tcPr>
          <w:p w14:paraId="0B76C839" w14:textId="77777777" w:rsidR="009E247B" w:rsidRPr="000016AF" w:rsidRDefault="009E247B">
            <w:pPr>
              <w:rPr>
                <w:rFonts w:cs="Arial"/>
                <w:lang w:val="es-ES"/>
              </w:rPr>
            </w:pPr>
            <w:r w:rsidRPr="000016AF">
              <w:rPr>
                <w:rFonts w:cs="Arial"/>
                <w:lang w:val="es-ES"/>
              </w:rPr>
              <w:t>Actuación específica desarrollada por un beneficiario de FAMI dentro de una operación.</w:t>
            </w:r>
          </w:p>
        </w:tc>
        <w:tc>
          <w:tcPr>
            <w:tcW w:w="2518" w:type="dxa"/>
            <w:tcBorders>
              <w:top w:val="single" w:sz="4" w:space="0" w:color="auto"/>
              <w:left w:val="single" w:sz="4" w:space="0" w:color="auto"/>
              <w:bottom w:val="single" w:sz="4" w:space="0" w:color="auto"/>
              <w:right w:val="single" w:sz="4" w:space="0" w:color="auto"/>
            </w:tcBorders>
            <w:hideMark/>
          </w:tcPr>
          <w:p w14:paraId="66EBEA14" w14:textId="77777777" w:rsidR="009E247B" w:rsidRPr="000016AF" w:rsidRDefault="009E247B">
            <w:pPr>
              <w:rPr>
                <w:rFonts w:cs="Arial"/>
                <w:lang w:val="es-ES"/>
              </w:rPr>
            </w:pPr>
            <w:r w:rsidRPr="000016AF">
              <w:rPr>
                <w:rFonts w:cs="Arial"/>
                <w:lang w:val="es-ES"/>
              </w:rPr>
              <w:t>Definición propia.</w:t>
            </w:r>
          </w:p>
        </w:tc>
      </w:tr>
      <w:tr w:rsidR="009E247B" w:rsidRPr="000A250C" w14:paraId="6E84BADD"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5C5B7D17" w14:textId="77777777" w:rsidR="009E247B" w:rsidRPr="000016AF" w:rsidRDefault="009E247B">
            <w:pPr>
              <w:rPr>
                <w:rFonts w:cs="Arial"/>
                <w:lang w:val="es-ES"/>
              </w:rPr>
            </w:pPr>
            <w:r w:rsidRPr="000016AF">
              <w:rPr>
                <w:rFonts w:cs="Arial"/>
                <w:lang w:val="es-ES"/>
              </w:rPr>
              <w:t>Proyecto de integración</w:t>
            </w:r>
          </w:p>
        </w:tc>
        <w:tc>
          <w:tcPr>
            <w:tcW w:w="4416" w:type="dxa"/>
            <w:tcBorders>
              <w:top w:val="single" w:sz="4" w:space="0" w:color="auto"/>
              <w:left w:val="single" w:sz="4" w:space="0" w:color="auto"/>
              <w:bottom w:val="single" w:sz="4" w:space="0" w:color="auto"/>
              <w:right w:val="single" w:sz="4" w:space="0" w:color="auto"/>
            </w:tcBorders>
            <w:hideMark/>
          </w:tcPr>
          <w:p w14:paraId="3CDABD10" w14:textId="61768225" w:rsidR="009E247B" w:rsidRPr="000016AF" w:rsidRDefault="009E247B">
            <w:pPr>
              <w:rPr>
                <w:rFonts w:cs="Arial"/>
                <w:lang w:val="es-ES"/>
              </w:rPr>
            </w:pPr>
            <w:r w:rsidRPr="000016AF">
              <w:rPr>
                <w:rFonts w:cs="Arial"/>
                <w:lang w:val="es-ES"/>
              </w:rPr>
              <w:t xml:space="preserve">Aquel proyecto que fomenta la inclusión social y económica de nacionales de terceros países. </w:t>
            </w:r>
          </w:p>
        </w:tc>
        <w:tc>
          <w:tcPr>
            <w:tcW w:w="2518" w:type="dxa"/>
            <w:tcBorders>
              <w:top w:val="single" w:sz="4" w:space="0" w:color="auto"/>
              <w:left w:val="single" w:sz="4" w:space="0" w:color="auto"/>
              <w:bottom w:val="single" w:sz="4" w:space="0" w:color="auto"/>
              <w:right w:val="single" w:sz="4" w:space="0" w:color="auto"/>
            </w:tcBorders>
            <w:hideMark/>
          </w:tcPr>
          <w:p w14:paraId="2E49B4CA" w14:textId="77777777" w:rsidR="008F7E8E" w:rsidRDefault="008F7E8E">
            <w:pPr>
              <w:rPr>
                <w:rFonts w:cs="Arial"/>
                <w:lang w:val="es-ES"/>
              </w:rPr>
            </w:pPr>
            <w:r w:rsidRPr="000016AF">
              <w:rPr>
                <w:rFonts w:cs="Arial"/>
                <w:lang w:val="es-ES"/>
              </w:rPr>
              <w:t>Plan de acción sobre integración e inclusión 2021-2027 (</w:t>
            </w:r>
            <w:proofErr w:type="gramStart"/>
            <w:r w:rsidRPr="000016AF">
              <w:rPr>
                <w:rFonts w:cs="Arial"/>
                <w:lang w:val="es-ES"/>
              </w:rPr>
              <w:t>COM(</w:t>
            </w:r>
            <w:proofErr w:type="gramEnd"/>
            <w:r w:rsidRPr="000016AF">
              <w:rPr>
                <w:rFonts w:cs="Arial"/>
                <w:lang w:val="es-ES"/>
              </w:rPr>
              <w:t>2020) 758 final).</w:t>
            </w:r>
          </w:p>
          <w:p w14:paraId="6A5BDE92" w14:textId="77777777" w:rsidR="008F7E8E" w:rsidRPr="0073548D" w:rsidRDefault="008F7E8E">
            <w:pPr>
              <w:rPr>
                <w:rFonts w:cs="Arial"/>
                <w:lang w:val="es-ES"/>
              </w:rPr>
            </w:pPr>
          </w:p>
          <w:p w14:paraId="2E93E342" w14:textId="5CA96A32" w:rsidR="009E247B" w:rsidRPr="00582952" w:rsidRDefault="009E247B">
            <w:pPr>
              <w:rPr>
                <w:rFonts w:cs="Arial"/>
                <w:lang w:val="en-AU"/>
              </w:rPr>
            </w:pPr>
            <w:r w:rsidRPr="00582952">
              <w:rPr>
                <w:rFonts w:cs="Arial"/>
                <w:lang w:val="en-AU"/>
              </w:rPr>
              <w:t>AMIF Indicator Fiche</w:t>
            </w:r>
          </w:p>
          <w:p w14:paraId="7A8229A6" w14:textId="698CB465" w:rsidR="009E247B" w:rsidRPr="0073548D" w:rsidRDefault="009E247B">
            <w:pPr>
              <w:rPr>
                <w:rFonts w:cs="Arial"/>
                <w:lang w:val="en-AU"/>
              </w:rPr>
            </w:pPr>
            <w:r w:rsidRPr="00582952">
              <w:rPr>
                <w:lang w:val="en-AU"/>
              </w:rPr>
              <w:t xml:space="preserve">(AMIF Indicator Fiche, </w:t>
            </w:r>
            <w:r w:rsidR="00B87535">
              <w:rPr>
                <w:lang w:val="en-AU"/>
              </w:rPr>
              <w:t xml:space="preserve">Ref. </w:t>
            </w:r>
            <w:proofErr w:type="gramStart"/>
            <w:r w:rsidR="00B87535">
              <w:rPr>
                <w:lang w:val="en-AU"/>
              </w:rPr>
              <w:t>Ares(</w:t>
            </w:r>
            <w:proofErr w:type="gramEnd"/>
            <w:r w:rsidR="00B87535">
              <w:rPr>
                <w:lang w:val="en-AU"/>
              </w:rPr>
              <w:t>2022)1238557 – 18/02/2022).</w:t>
            </w:r>
          </w:p>
        </w:tc>
      </w:tr>
      <w:tr w:rsidR="009E247B" w:rsidRPr="000A250C" w14:paraId="2BCEFF66"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7501B056" w14:textId="77777777" w:rsidR="009E247B" w:rsidRPr="000016AF" w:rsidRDefault="009E247B">
            <w:pPr>
              <w:rPr>
                <w:rFonts w:cs="Arial"/>
                <w:lang w:val="es-ES"/>
              </w:rPr>
            </w:pPr>
            <w:r w:rsidRPr="000016AF">
              <w:rPr>
                <w:rFonts w:cs="Arial"/>
                <w:lang w:val="es-ES"/>
              </w:rPr>
              <w:lastRenderedPageBreak/>
              <w:t>Reagrupación familiar</w:t>
            </w:r>
          </w:p>
        </w:tc>
        <w:tc>
          <w:tcPr>
            <w:tcW w:w="4416" w:type="dxa"/>
            <w:tcBorders>
              <w:top w:val="single" w:sz="4" w:space="0" w:color="auto"/>
              <w:left w:val="single" w:sz="4" w:space="0" w:color="auto"/>
              <w:bottom w:val="single" w:sz="4" w:space="0" w:color="auto"/>
              <w:right w:val="single" w:sz="4" w:space="0" w:color="auto"/>
            </w:tcBorders>
            <w:hideMark/>
          </w:tcPr>
          <w:p w14:paraId="5CD6BD6A" w14:textId="77777777" w:rsidR="009E247B" w:rsidRPr="000016AF" w:rsidRDefault="009E247B">
            <w:pPr>
              <w:rPr>
                <w:rFonts w:cs="Arial"/>
                <w:lang w:val="es-ES"/>
              </w:rPr>
            </w:pPr>
            <w:r w:rsidRPr="000016AF">
              <w:rPr>
                <w:rFonts w:cs="Arial"/>
                <w:lang w:val="es-ES"/>
              </w:rPr>
              <w:t xml:space="preserve">Entrada y residencia en un Estado miembro de los miembros de la familia de un nacional de un tercer país que resida legalmente en dicho Estado miembro con el fin de mantener la unidad familiar, con independencia de que los vínculos familiares sean anteriores o posteriores a la entrada del reagrupante. </w:t>
            </w:r>
          </w:p>
        </w:tc>
        <w:tc>
          <w:tcPr>
            <w:tcW w:w="2518" w:type="dxa"/>
            <w:tcBorders>
              <w:top w:val="single" w:sz="4" w:space="0" w:color="auto"/>
              <w:left w:val="single" w:sz="4" w:space="0" w:color="auto"/>
              <w:bottom w:val="single" w:sz="4" w:space="0" w:color="auto"/>
              <w:right w:val="single" w:sz="4" w:space="0" w:color="auto"/>
            </w:tcBorders>
            <w:hideMark/>
          </w:tcPr>
          <w:p w14:paraId="352D742F" w14:textId="77777777" w:rsidR="009E247B" w:rsidRPr="000016AF" w:rsidRDefault="009E247B">
            <w:pPr>
              <w:rPr>
                <w:rFonts w:cs="Arial"/>
                <w:lang w:val="es-ES"/>
              </w:rPr>
            </w:pPr>
            <w:r w:rsidRPr="000016AF">
              <w:rPr>
                <w:rFonts w:cs="Arial"/>
                <w:lang w:val="es-ES"/>
              </w:rPr>
              <w:t xml:space="preserve">Art. 2 d de la Directiva 2003/86/CE del Consejo, de 22 de septiembre de 2003, sobre el derecho a la reagrupación familiar. </w:t>
            </w:r>
          </w:p>
        </w:tc>
      </w:tr>
      <w:tr w:rsidR="009E247B" w:rsidRPr="000A250C" w14:paraId="6965E3DF"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3F28BB1B" w14:textId="77777777" w:rsidR="009E247B" w:rsidRPr="000016AF" w:rsidRDefault="009E247B">
            <w:pPr>
              <w:rPr>
                <w:rFonts w:cs="Arial"/>
                <w:lang w:val="es-ES"/>
              </w:rPr>
            </w:pPr>
            <w:r w:rsidRPr="000016AF">
              <w:rPr>
                <w:rFonts w:cs="Arial"/>
                <w:lang w:val="es-ES"/>
              </w:rPr>
              <w:t>Reasentamiento</w:t>
            </w:r>
          </w:p>
        </w:tc>
        <w:tc>
          <w:tcPr>
            <w:tcW w:w="4416" w:type="dxa"/>
            <w:tcBorders>
              <w:top w:val="single" w:sz="4" w:space="0" w:color="auto"/>
              <w:left w:val="single" w:sz="4" w:space="0" w:color="auto"/>
              <w:bottom w:val="single" w:sz="4" w:space="0" w:color="auto"/>
              <w:right w:val="single" w:sz="4" w:space="0" w:color="auto"/>
            </w:tcBorders>
            <w:hideMark/>
          </w:tcPr>
          <w:p w14:paraId="189EC67D" w14:textId="77777777" w:rsidR="009E247B" w:rsidRPr="000016AF" w:rsidRDefault="009E247B">
            <w:pPr>
              <w:rPr>
                <w:rFonts w:cs="Arial"/>
                <w:lang w:val="es-ES"/>
              </w:rPr>
            </w:pPr>
            <w:r w:rsidRPr="000016AF">
              <w:rPr>
                <w:rFonts w:cs="Arial"/>
                <w:lang w:val="es-ES"/>
              </w:rPr>
              <w:t>Por reasentamiento se entiende la admisión, a raíz de una remisión del ACNUR, de nacionales de terceros países o apátridas procedentes de un tercer país al que han sido desplazados, en el territorio de los Estados miembros, y a los que se concede protección internacional y tienen acceso a una solución duradera de conformidad con el Derecho de la Unión y nacional.</w:t>
            </w:r>
          </w:p>
        </w:tc>
        <w:tc>
          <w:tcPr>
            <w:tcW w:w="2518" w:type="dxa"/>
            <w:tcBorders>
              <w:top w:val="single" w:sz="4" w:space="0" w:color="auto"/>
              <w:left w:val="single" w:sz="4" w:space="0" w:color="auto"/>
              <w:bottom w:val="single" w:sz="4" w:space="0" w:color="auto"/>
              <w:right w:val="single" w:sz="4" w:space="0" w:color="auto"/>
            </w:tcBorders>
            <w:hideMark/>
          </w:tcPr>
          <w:p w14:paraId="1E316E6C" w14:textId="77777777" w:rsidR="009E247B" w:rsidRPr="000016AF" w:rsidRDefault="009E247B">
            <w:pPr>
              <w:rPr>
                <w:rFonts w:cs="Arial"/>
                <w:lang w:val="es-ES"/>
              </w:rPr>
            </w:pPr>
            <w:r w:rsidRPr="000016AF">
              <w:rPr>
                <w:rFonts w:cs="Arial"/>
                <w:lang w:val="es-ES"/>
              </w:rPr>
              <w:t>Art. 2.8 del Reglamento (UE) 2021/1147 del Parlamento Europeo y del Consejo de 7 de julio de 2021 por el que se crea el Fondo de Asilo, Migración e Integración.</w:t>
            </w:r>
          </w:p>
        </w:tc>
      </w:tr>
      <w:tr w:rsidR="009E247B" w:rsidRPr="000A250C" w14:paraId="4957274A"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787AE908" w14:textId="77777777" w:rsidR="009E247B" w:rsidRPr="000016AF" w:rsidRDefault="009E247B">
            <w:pPr>
              <w:rPr>
                <w:rFonts w:cs="Arial"/>
                <w:lang w:val="es-ES"/>
              </w:rPr>
            </w:pPr>
            <w:r w:rsidRPr="000016AF">
              <w:rPr>
                <w:rFonts w:cs="Arial"/>
                <w:lang w:val="es-ES"/>
              </w:rPr>
              <w:t>Retorno</w:t>
            </w:r>
          </w:p>
        </w:tc>
        <w:tc>
          <w:tcPr>
            <w:tcW w:w="4416" w:type="dxa"/>
            <w:tcBorders>
              <w:top w:val="single" w:sz="4" w:space="0" w:color="auto"/>
              <w:left w:val="single" w:sz="4" w:space="0" w:color="auto"/>
              <w:bottom w:val="single" w:sz="4" w:space="0" w:color="auto"/>
              <w:right w:val="single" w:sz="4" w:space="0" w:color="auto"/>
            </w:tcBorders>
            <w:hideMark/>
          </w:tcPr>
          <w:p w14:paraId="1E4AC3E1" w14:textId="5571070B" w:rsidR="009E247B" w:rsidRPr="000016AF" w:rsidRDefault="009E247B">
            <w:pPr>
              <w:rPr>
                <w:rFonts w:cs="Arial"/>
                <w:lang w:val="es-ES"/>
              </w:rPr>
            </w:pPr>
            <w:r w:rsidRPr="000016AF">
              <w:rPr>
                <w:rFonts w:cs="Arial"/>
                <w:lang w:val="es-ES"/>
              </w:rPr>
              <w:t>Proceso por el que un nacional de un tercer país abandona el territorio de un Estado miembro y regresa a un tercer país voluntariamente (retorno voluntario) o mediante expulsión (retorno forz</w:t>
            </w:r>
            <w:r w:rsidR="00FA7688">
              <w:rPr>
                <w:rFonts w:cs="Arial"/>
                <w:lang w:val="es-ES"/>
              </w:rPr>
              <w:t>oso</w:t>
            </w:r>
            <w:r w:rsidRPr="000016AF">
              <w:rPr>
                <w:rFonts w:cs="Arial"/>
                <w:lang w:val="es-ES"/>
              </w:rPr>
              <w:t>).</w:t>
            </w:r>
          </w:p>
        </w:tc>
        <w:tc>
          <w:tcPr>
            <w:tcW w:w="2518" w:type="dxa"/>
            <w:tcBorders>
              <w:top w:val="single" w:sz="4" w:space="0" w:color="auto"/>
              <w:left w:val="single" w:sz="4" w:space="0" w:color="auto"/>
              <w:bottom w:val="single" w:sz="4" w:space="0" w:color="auto"/>
              <w:right w:val="single" w:sz="4" w:space="0" w:color="auto"/>
            </w:tcBorders>
            <w:hideMark/>
          </w:tcPr>
          <w:p w14:paraId="35495ED6" w14:textId="77777777" w:rsidR="009E247B" w:rsidRPr="00582952" w:rsidRDefault="009E247B">
            <w:pPr>
              <w:rPr>
                <w:rFonts w:cs="Arial"/>
                <w:lang w:val="en-AU"/>
              </w:rPr>
            </w:pPr>
            <w:r w:rsidRPr="000016AF">
              <w:rPr>
                <w:lang w:val="es-ES"/>
              </w:rPr>
              <w:t xml:space="preserve"> </w:t>
            </w:r>
            <w:r w:rsidRPr="00582952">
              <w:rPr>
                <w:rFonts w:cs="Arial"/>
                <w:lang w:val="en-AU"/>
              </w:rPr>
              <w:t>AMIF Indicator Fiche</w:t>
            </w:r>
          </w:p>
          <w:p w14:paraId="5AC81840" w14:textId="2AEE121A" w:rsidR="009E247B" w:rsidRPr="0073548D" w:rsidRDefault="009E247B">
            <w:pPr>
              <w:rPr>
                <w:rFonts w:cs="Arial"/>
                <w:lang w:val="en-AU"/>
              </w:rPr>
            </w:pPr>
            <w:r w:rsidRPr="00582952">
              <w:rPr>
                <w:rFonts w:cs="Arial"/>
                <w:lang w:val="en-AU"/>
              </w:rPr>
              <w:t xml:space="preserve">(AMIF Indicator Fiche, </w:t>
            </w:r>
            <w:r w:rsidR="00B87535">
              <w:rPr>
                <w:rFonts w:cs="Arial"/>
                <w:lang w:val="en-AU"/>
              </w:rPr>
              <w:t xml:space="preserve">Ref. </w:t>
            </w:r>
            <w:proofErr w:type="gramStart"/>
            <w:r w:rsidR="00B87535">
              <w:rPr>
                <w:rFonts w:cs="Arial"/>
                <w:lang w:val="en-AU"/>
              </w:rPr>
              <w:t>Ares(</w:t>
            </w:r>
            <w:proofErr w:type="gramEnd"/>
            <w:r w:rsidR="00B87535">
              <w:rPr>
                <w:rFonts w:cs="Arial"/>
                <w:lang w:val="en-AU"/>
              </w:rPr>
              <w:t>2022)1238557 – 18/02/2022).</w:t>
            </w:r>
          </w:p>
        </w:tc>
      </w:tr>
      <w:tr w:rsidR="009E247B" w:rsidRPr="000A250C" w14:paraId="40459D9E"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2F8B2C22" w14:textId="77777777" w:rsidR="009E247B" w:rsidRPr="000016AF" w:rsidRDefault="009E247B">
            <w:pPr>
              <w:rPr>
                <w:rFonts w:cs="Arial"/>
                <w:lang w:val="es-ES"/>
              </w:rPr>
            </w:pPr>
            <w:r w:rsidRPr="000016AF">
              <w:rPr>
                <w:rFonts w:cs="Arial"/>
                <w:lang w:val="es-ES"/>
              </w:rPr>
              <w:t>Retorno voluntario</w:t>
            </w:r>
          </w:p>
        </w:tc>
        <w:tc>
          <w:tcPr>
            <w:tcW w:w="4416" w:type="dxa"/>
            <w:tcBorders>
              <w:top w:val="single" w:sz="4" w:space="0" w:color="auto"/>
              <w:left w:val="single" w:sz="4" w:space="0" w:color="auto"/>
              <w:bottom w:val="single" w:sz="4" w:space="0" w:color="auto"/>
              <w:right w:val="single" w:sz="4" w:space="0" w:color="auto"/>
            </w:tcBorders>
            <w:hideMark/>
          </w:tcPr>
          <w:p w14:paraId="0928DD8F" w14:textId="77777777" w:rsidR="009E247B" w:rsidRPr="000016AF" w:rsidRDefault="009E247B">
            <w:pPr>
              <w:rPr>
                <w:rFonts w:cs="Arial"/>
                <w:lang w:val="es-ES"/>
              </w:rPr>
            </w:pPr>
            <w:r w:rsidRPr="000016AF">
              <w:rPr>
                <w:rFonts w:cs="Arial"/>
                <w:lang w:val="es-ES"/>
              </w:rPr>
              <w:t>Salida voluntaria en cumplimiento de la obligación de retorno dentro del plazo fijado para ello en la decisión de retorno.</w:t>
            </w:r>
          </w:p>
        </w:tc>
        <w:tc>
          <w:tcPr>
            <w:tcW w:w="2518" w:type="dxa"/>
            <w:tcBorders>
              <w:top w:val="single" w:sz="4" w:space="0" w:color="auto"/>
              <w:left w:val="single" w:sz="4" w:space="0" w:color="auto"/>
              <w:bottom w:val="single" w:sz="4" w:space="0" w:color="auto"/>
              <w:right w:val="single" w:sz="4" w:space="0" w:color="auto"/>
            </w:tcBorders>
            <w:hideMark/>
          </w:tcPr>
          <w:p w14:paraId="7FC87C2E" w14:textId="77777777" w:rsidR="009E247B" w:rsidRPr="000016AF" w:rsidRDefault="009E247B">
            <w:pPr>
              <w:spacing w:line="240" w:lineRule="auto"/>
              <w:rPr>
                <w:rFonts w:cs="Arial"/>
                <w:lang w:val="es-ES"/>
              </w:rPr>
            </w:pPr>
            <w:r w:rsidRPr="000016AF">
              <w:rPr>
                <w:rFonts w:cs="Arial"/>
                <w:lang w:val="es-ES"/>
              </w:rPr>
              <w:t>Art. 3(8) de la Directiva 2008/115/CE relativa a normas y procedimientos comunes en los Estados miembros para el retorno de los</w:t>
            </w:r>
          </w:p>
          <w:p w14:paraId="4950EA9E" w14:textId="59DE218C" w:rsidR="009E247B" w:rsidRPr="000016AF" w:rsidRDefault="009E247B">
            <w:pPr>
              <w:rPr>
                <w:rFonts w:ascii="Calibri" w:hAnsi="Calibri"/>
                <w:lang w:val="es-ES"/>
              </w:rPr>
            </w:pPr>
            <w:r w:rsidRPr="000016AF">
              <w:rPr>
                <w:rFonts w:cs="Arial"/>
                <w:lang w:val="es-ES"/>
              </w:rPr>
              <w:t>nacionales de terceros países en situación irregular; Art. 5 del Reglamento</w:t>
            </w:r>
            <w:r w:rsidR="00FA7688">
              <w:rPr>
                <w:rFonts w:cs="Arial"/>
                <w:lang w:val="es-ES"/>
              </w:rPr>
              <w:t xml:space="preserve"> FAMI</w:t>
            </w:r>
            <w:r w:rsidRPr="000016AF">
              <w:rPr>
                <w:rFonts w:cs="Arial"/>
                <w:lang w:val="es-ES"/>
              </w:rPr>
              <w:t xml:space="preserve"> (2021-2027)</w:t>
            </w:r>
          </w:p>
        </w:tc>
      </w:tr>
      <w:tr w:rsidR="009E247B" w:rsidRPr="000A250C" w14:paraId="1FA1E508" w14:textId="77777777" w:rsidTr="009E247B">
        <w:trPr>
          <w:cantSplit/>
        </w:trPr>
        <w:tc>
          <w:tcPr>
            <w:tcW w:w="1990" w:type="dxa"/>
            <w:tcBorders>
              <w:top w:val="single" w:sz="4" w:space="0" w:color="auto"/>
              <w:left w:val="single" w:sz="4" w:space="0" w:color="auto"/>
              <w:bottom w:val="single" w:sz="4" w:space="0" w:color="auto"/>
              <w:right w:val="single" w:sz="4" w:space="0" w:color="auto"/>
            </w:tcBorders>
            <w:hideMark/>
          </w:tcPr>
          <w:p w14:paraId="49BC97A8" w14:textId="77777777" w:rsidR="009E247B" w:rsidRPr="000016AF" w:rsidRDefault="009E247B">
            <w:pPr>
              <w:rPr>
                <w:rFonts w:cs="Arial"/>
                <w:lang w:val="es-ES"/>
              </w:rPr>
            </w:pPr>
            <w:r w:rsidRPr="000016AF">
              <w:rPr>
                <w:rFonts w:cs="Arial"/>
                <w:lang w:val="es-ES"/>
              </w:rPr>
              <w:t>Solicitud</w:t>
            </w:r>
          </w:p>
        </w:tc>
        <w:tc>
          <w:tcPr>
            <w:tcW w:w="4416" w:type="dxa"/>
            <w:tcBorders>
              <w:top w:val="single" w:sz="4" w:space="0" w:color="auto"/>
              <w:left w:val="single" w:sz="4" w:space="0" w:color="auto"/>
              <w:bottom w:val="single" w:sz="4" w:space="0" w:color="auto"/>
              <w:right w:val="single" w:sz="4" w:space="0" w:color="auto"/>
            </w:tcBorders>
            <w:hideMark/>
          </w:tcPr>
          <w:p w14:paraId="6312D907" w14:textId="77777777" w:rsidR="009E247B" w:rsidRPr="000016AF" w:rsidRDefault="009E247B">
            <w:pPr>
              <w:rPr>
                <w:rFonts w:cs="Arial"/>
                <w:lang w:val="es-ES"/>
              </w:rPr>
            </w:pPr>
            <w:r w:rsidRPr="000016AF">
              <w:rPr>
                <w:rFonts w:cs="Arial"/>
                <w:lang w:val="es-ES"/>
              </w:rPr>
              <w:t>Proceso formal en línea con los requisitos nacionales.</w:t>
            </w:r>
          </w:p>
        </w:tc>
        <w:tc>
          <w:tcPr>
            <w:tcW w:w="2518" w:type="dxa"/>
            <w:tcBorders>
              <w:top w:val="single" w:sz="4" w:space="0" w:color="auto"/>
              <w:left w:val="single" w:sz="4" w:space="0" w:color="auto"/>
              <w:bottom w:val="single" w:sz="4" w:space="0" w:color="auto"/>
              <w:right w:val="single" w:sz="4" w:space="0" w:color="auto"/>
            </w:tcBorders>
            <w:hideMark/>
          </w:tcPr>
          <w:p w14:paraId="651CC8F1" w14:textId="77777777" w:rsidR="009E247B" w:rsidRPr="00582952" w:rsidRDefault="009E247B">
            <w:pPr>
              <w:rPr>
                <w:rFonts w:cs="Arial"/>
                <w:lang w:val="en-AU"/>
              </w:rPr>
            </w:pPr>
            <w:r w:rsidRPr="00582952">
              <w:rPr>
                <w:rFonts w:cs="Arial"/>
                <w:lang w:val="en-AU"/>
              </w:rPr>
              <w:t>AMIF Indicator Fiche</w:t>
            </w:r>
          </w:p>
          <w:p w14:paraId="1C55B8DE" w14:textId="506A41F6" w:rsidR="009E247B" w:rsidRPr="0073548D" w:rsidRDefault="009E247B">
            <w:pPr>
              <w:rPr>
                <w:rFonts w:cs="Arial"/>
                <w:lang w:val="en-AU"/>
              </w:rPr>
            </w:pPr>
            <w:r w:rsidRPr="00582952">
              <w:rPr>
                <w:rFonts w:cs="Arial"/>
                <w:lang w:val="en-AU"/>
              </w:rPr>
              <w:t xml:space="preserve">(AMIF Indicator Fiche, </w:t>
            </w:r>
            <w:r w:rsidR="00B87535">
              <w:rPr>
                <w:rFonts w:cs="Arial"/>
                <w:lang w:val="en-AU"/>
              </w:rPr>
              <w:t xml:space="preserve">Ref. </w:t>
            </w:r>
            <w:proofErr w:type="gramStart"/>
            <w:r w:rsidR="00B87535">
              <w:rPr>
                <w:rFonts w:cs="Arial"/>
                <w:lang w:val="en-AU"/>
              </w:rPr>
              <w:t>Ares(</w:t>
            </w:r>
            <w:proofErr w:type="gramEnd"/>
            <w:r w:rsidR="00B87535">
              <w:rPr>
                <w:rFonts w:cs="Arial"/>
                <w:lang w:val="en-AU"/>
              </w:rPr>
              <w:t>2022)1238557 – 18/02/2022).</w:t>
            </w:r>
          </w:p>
        </w:tc>
      </w:tr>
    </w:tbl>
    <w:p w14:paraId="6D6BC3E8" w14:textId="77777777" w:rsidR="005E2D89" w:rsidRPr="0073548D" w:rsidRDefault="005E2D89" w:rsidP="00F5171D">
      <w:pPr>
        <w:rPr>
          <w:rFonts w:cs="Arial"/>
          <w:color w:val="FF0000"/>
          <w:lang w:val="en-AU"/>
        </w:rPr>
      </w:pPr>
    </w:p>
    <w:p w14:paraId="591604C3" w14:textId="3CC19FEE" w:rsidR="005E2D89" w:rsidRPr="0073548D" w:rsidRDefault="005E2D89" w:rsidP="00F5171D">
      <w:pPr>
        <w:rPr>
          <w:rFonts w:cs="Arial"/>
          <w:color w:val="FF0000"/>
          <w:lang w:val="en-AU"/>
        </w:rPr>
      </w:pPr>
      <w:r w:rsidRPr="0073548D">
        <w:rPr>
          <w:rFonts w:cs="Arial"/>
          <w:color w:val="FF0000"/>
          <w:lang w:val="en-AU"/>
        </w:rPr>
        <w:br w:type="page"/>
      </w:r>
    </w:p>
    <w:p w14:paraId="3442938F" w14:textId="3AFA93C1" w:rsidR="00D42A1A" w:rsidRPr="000016AF" w:rsidRDefault="009E247B" w:rsidP="0059338C">
      <w:pPr>
        <w:pStyle w:val="Ttulo1"/>
        <w:numPr>
          <w:ilvl w:val="0"/>
          <w:numId w:val="12"/>
        </w:numPr>
        <w:spacing w:after="240"/>
        <w:rPr>
          <w:sz w:val="24"/>
          <w:lang w:val="es-ES"/>
        </w:rPr>
      </w:pPr>
      <w:bookmarkStart w:id="3" w:name="_Toc95467673"/>
      <w:r w:rsidRPr="000016AF">
        <w:rPr>
          <w:sz w:val="24"/>
          <w:lang w:val="es-ES"/>
        </w:rPr>
        <w:lastRenderedPageBreak/>
        <w:t>Pautas para la recogida de indicadores de realización y resultado</w:t>
      </w:r>
      <w:bookmarkEnd w:id="3"/>
    </w:p>
    <w:p w14:paraId="3EDD84BF" w14:textId="77777777" w:rsidR="000016AF" w:rsidRPr="000016AF" w:rsidRDefault="000016AF" w:rsidP="000016AF">
      <w:pPr>
        <w:pStyle w:val="Prrafodelista"/>
        <w:numPr>
          <w:ilvl w:val="1"/>
          <w:numId w:val="12"/>
        </w:numPr>
        <w:spacing w:after="240"/>
        <w:outlineLvl w:val="1"/>
        <w:rPr>
          <w:rFonts w:cs="Arial"/>
          <w:b/>
          <w:lang w:val="es-ES"/>
        </w:rPr>
      </w:pPr>
      <w:bookmarkStart w:id="4" w:name="_Toc95467674"/>
      <w:r w:rsidRPr="000016AF">
        <w:rPr>
          <w:rFonts w:cs="Arial"/>
          <w:b/>
          <w:lang w:val="es-ES"/>
        </w:rPr>
        <w:t>Instrucciones generales</w:t>
      </w:r>
      <w:bookmarkEnd w:id="4"/>
      <w:r w:rsidRPr="000016AF">
        <w:rPr>
          <w:rFonts w:cs="Arial"/>
          <w:b/>
          <w:lang w:val="es-ES"/>
        </w:rPr>
        <w:t xml:space="preserve"> </w:t>
      </w:r>
    </w:p>
    <w:p w14:paraId="07E6E442" w14:textId="385BDF80" w:rsidR="00150303" w:rsidRPr="000016AF" w:rsidRDefault="00576B33" w:rsidP="00F5171D">
      <w:pPr>
        <w:rPr>
          <w:rFonts w:cs="Arial"/>
          <w:lang w:val="es-ES"/>
        </w:rPr>
      </w:pPr>
      <w:r w:rsidRPr="000016AF">
        <w:rPr>
          <w:rFonts w:cs="Arial"/>
          <w:lang w:val="es-ES"/>
        </w:rPr>
        <w:t xml:space="preserve">Los </w:t>
      </w:r>
      <w:r w:rsidRPr="000016AF">
        <w:rPr>
          <w:rFonts w:cs="Arial"/>
          <w:b/>
          <w:lang w:val="es-ES"/>
        </w:rPr>
        <w:t>indicadores comunes</w:t>
      </w:r>
      <w:r w:rsidRPr="000016AF">
        <w:rPr>
          <w:rFonts w:cs="Arial"/>
          <w:lang w:val="es-ES"/>
        </w:rPr>
        <w:t xml:space="preserve"> son aquellos que informan de los progresos del Fondo respecto de la </w:t>
      </w:r>
      <w:r w:rsidR="00D42A1A" w:rsidRPr="000016AF">
        <w:rPr>
          <w:rFonts w:cs="Arial"/>
          <w:lang w:val="es-ES"/>
        </w:rPr>
        <w:t>consecución</w:t>
      </w:r>
      <w:r w:rsidRPr="000016AF">
        <w:rPr>
          <w:rFonts w:cs="Arial"/>
          <w:lang w:val="es-ES"/>
        </w:rPr>
        <w:t xml:space="preserve"> de los objetivos específicos</w:t>
      </w:r>
      <w:r w:rsidR="003C27F0" w:rsidRPr="000016AF">
        <w:rPr>
          <w:rFonts w:cs="Arial"/>
          <w:lang w:val="es-ES"/>
        </w:rPr>
        <w:t xml:space="preserve"> y están definidos en el Reglamento (UE) 2021/1147.</w:t>
      </w:r>
      <w:r w:rsidRPr="000016AF">
        <w:rPr>
          <w:rFonts w:cs="Arial"/>
          <w:lang w:val="es-ES"/>
        </w:rPr>
        <w:t xml:space="preserve"> Se dividen a su vez en dos tipos de Indicadores:</w:t>
      </w:r>
    </w:p>
    <w:p w14:paraId="379A0319" w14:textId="77777777" w:rsidR="00927784" w:rsidRPr="000016AF" w:rsidRDefault="00927784" w:rsidP="00F5171D">
      <w:pPr>
        <w:rPr>
          <w:rFonts w:cs="Arial"/>
          <w:lang w:val="es-ES"/>
        </w:rPr>
      </w:pPr>
    </w:p>
    <w:p w14:paraId="141D8A05" w14:textId="7EFCD736" w:rsidR="00150303" w:rsidRDefault="00FA7688" w:rsidP="00B87535">
      <w:pPr>
        <w:pStyle w:val="Prrafodelista"/>
        <w:numPr>
          <w:ilvl w:val="0"/>
          <w:numId w:val="2"/>
        </w:numPr>
        <w:ind w:left="360"/>
        <w:rPr>
          <w:rFonts w:cs="Arial"/>
          <w:lang w:val="es-ES"/>
        </w:rPr>
      </w:pPr>
      <w:r w:rsidRPr="00FA7688">
        <w:rPr>
          <w:rFonts w:cs="Arial"/>
          <w:b/>
          <w:szCs w:val="22"/>
          <w:lang w:val="es-ES"/>
        </w:rPr>
        <w:t>I</w:t>
      </w:r>
      <w:r w:rsidR="00576B33" w:rsidRPr="00FA7688">
        <w:rPr>
          <w:rFonts w:cs="Arial"/>
          <w:b/>
          <w:szCs w:val="22"/>
          <w:lang w:val="es-ES"/>
        </w:rPr>
        <w:t>ndicadores de realización</w:t>
      </w:r>
      <w:r w:rsidRPr="00FA7688">
        <w:rPr>
          <w:rFonts w:cs="Arial"/>
          <w:szCs w:val="22"/>
          <w:lang w:val="es-ES"/>
        </w:rPr>
        <w:t>:</w:t>
      </w:r>
      <w:r w:rsidR="00576B33" w:rsidRPr="00FA7688">
        <w:rPr>
          <w:rFonts w:cs="Arial"/>
          <w:szCs w:val="22"/>
          <w:lang w:val="es-ES"/>
        </w:rPr>
        <w:t xml:space="preserve"> aquellos que </w:t>
      </w:r>
      <w:r w:rsidR="00150303" w:rsidRPr="00FA7688">
        <w:rPr>
          <w:rFonts w:cs="Arial"/>
          <w:lang w:val="es-ES"/>
        </w:rPr>
        <w:t>mide</w:t>
      </w:r>
      <w:r w:rsidRPr="00FA7688">
        <w:rPr>
          <w:rFonts w:cs="Arial"/>
          <w:lang w:val="es-ES"/>
        </w:rPr>
        <w:t>n</w:t>
      </w:r>
      <w:r w:rsidR="00150303" w:rsidRPr="00FA7688">
        <w:rPr>
          <w:rFonts w:cs="Arial"/>
          <w:lang w:val="es-ES"/>
        </w:rPr>
        <w:t xml:space="preserve"> el número de personas que se benefician directamente de una operación</w:t>
      </w:r>
      <w:r>
        <w:rPr>
          <w:rFonts w:cs="Arial"/>
          <w:lang w:val="es-ES"/>
        </w:rPr>
        <w:t>.</w:t>
      </w:r>
    </w:p>
    <w:p w14:paraId="4C44AF84" w14:textId="360B0DC7" w:rsidR="00576B33" w:rsidRPr="00FA7688" w:rsidRDefault="00FA7688" w:rsidP="00FA7688">
      <w:pPr>
        <w:pStyle w:val="Prrafodelista"/>
        <w:numPr>
          <w:ilvl w:val="0"/>
          <w:numId w:val="2"/>
        </w:numPr>
        <w:ind w:left="360"/>
        <w:rPr>
          <w:rFonts w:cs="Arial"/>
          <w:lang w:val="es-ES"/>
        </w:rPr>
      </w:pPr>
      <w:r>
        <w:rPr>
          <w:rFonts w:cs="Arial"/>
          <w:b/>
          <w:szCs w:val="22"/>
          <w:lang w:val="es-ES"/>
        </w:rPr>
        <w:t>I</w:t>
      </w:r>
      <w:r w:rsidR="00576B33" w:rsidRPr="00FA7688">
        <w:rPr>
          <w:rFonts w:cs="Arial"/>
          <w:b/>
          <w:szCs w:val="22"/>
          <w:lang w:val="es-ES"/>
        </w:rPr>
        <w:t>ndicadores de resultado</w:t>
      </w:r>
      <w:r>
        <w:rPr>
          <w:rFonts w:cs="Arial"/>
          <w:szCs w:val="22"/>
          <w:lang w:val="es-ES"/>
        </w:rPr>
        <w:t xml:space="preserve">: </w:t>
      </w:r>
      <w:r w:rsidR="00576B33" w:rsidRPr="00FA7688">
        <w:rPr>
          <w:rFonts w:cs="Arial"/>
          <w:szCs w:val="22"/>
          <w:lang w:val="es-ES"/>
        </w:rPr>
        <w:t xml:space="preserve">aquellos que miden </w:t>
      </w:r>
      <w:r w:rsidR="00150303" w:rsidRPr="00FA7688">
        <w:rPr>
          <w:rFonts w:cs="Arial"/>
          <w:lang w:val="es-ES"/>
        </w:rPr>
        <w:t>los efectos directos de las operaciones en las personas que se benefician de ella.</w:t>
      </w:r>
    </w:p>
    <w:p w14:paraId="0D4E446E" w14:textId="77777777" w:rsidR="006259F6" w:rsidRPr="000016AF" w:rsidRDefault="006259F6" w:rsidP="00576B33">
      <w:pPr>
        <w:rPr>
          <w:rFonts w:cs="Arial"/>
          <w:lang w:val="es-ES"/>
        </w:rPr>
      </w:pPr>
    </w:p>
    <w:p w14:paraId="0EA3DBCC" w14:textId="169AFE61" w:rsidR="00D42A1A" w:rsidRPr="000016AF" w:rsidRDefault="00D42A1A" w:rsidP="00D42A1A">
      <w:pPr>
        <w:jc w:val="both"/>
        <w:rPr>
          <w:rFonts w:cs="Arial"/>
          <w:lang w:val="es-ES"/>
        </w:rPr>
      </w:pPr>
      <w:r w:rsidRPr="000016AF">
        <w:rPr>
          <w:rFonts w:cs="Arial"/>
          <w:lang w:val="es-ES"/>
        </w:rPr>
        <w:t xml:space="preserve">Para los indicadores relacionados con las </w:t>
      </w:r>
      <w:r w:rsidR="00150303" w:rsidRPr="000016AF">
        <w:rPr>
          <w:rFonts w:cs="Arial"/>
          <w:i/>
          <w:lang w:val="es-ES"/>
        </w:rPr>
        <w:t>participantes</w:t>
      </w:r>
      <w:r w:rsidRPr="000016AF">
        <w:rPr>
          <w:rFonts w:cs="Arial"/>
          <w:lang w:val="es-ES"/>
        </w:rPr>
        <w:t xml:space="preserve"> en el marco del</w:t>
      </w:r>
      <w:r w:rsidR="00FA7688">
        <w:rPr>
          <w:rFonts w:cs="Arial"/>
          <w:lang w:val="es-ES"/>
        </w:rPr>
        <w:t xml:space="preserve"> FAMI</w:t>
      </w:r>
      <w:r w:rsidRPr="000016AF">
        <w:rPr>
          <w:rFonts w:cs="Arial"/>
          <w:lang w:val="es-ES"/>
        </w:rPr>
        <w:t xml:space="preserve">, la regla de validación se establecerá a nivel de </w:t>
      </w:r>
      <w:r w:rsidRPr="000016AF">
        <w:rPr>
          <w:rFonts w:cs="Arial"/>
          <w:b/>
          <w:lang w:val="es-ES"/>
        </w:rPr>
        <w:t>género</w:t>
      </w:r>
      <w:r w:rsidRPr="000016AF">
        <w:rPr>
          <w:rFonts w:cs="Arial"/>
          <w:lang w:val="es-ES"/>
        </w:rPr>
        <w:t xml:space="preserve"> y grupo de </w:t>
      </w:r>
      <w:r w:rsidRPr="000016AF">
        <w:rPr>
          <w:rFonts w:cs="Arial"/>
          <w:b/>
          <w:lang w:val="es-ES"/>
        </w:rPr>
        <w:t>edad</w:t>
      </w:r>
      <w:r w:rsidRPr="000016AF">
        <w:rPr>
          <w:rFonts w:cs="Arial"/>
          <w:lang w:val="es-ES"/>
        </w:rPr>
        <w:t>.</w:t>
      </w:r>
    </w:p>
    <w:p w14:paraId="3F33DE8D" w14:textId="77777777" w:rsidR="00D42A1A" w:rsidRPr="000016AF" w:rsidRDefault="00D42A1A" w:rsidP="00576B33">
      <w:pPr>
        <w:rPr>
          <w:rFonts w:cs="Arial"/>
          <w:lang w:val="es-ES"/>
        </w:rPr>
      </w:pPr>
    </w:p>
    <w:p w14:paraId="43ED9EF7" w14:textId="094F5641" w:rsidR="00150303" w:rsidRPr="000016AF" w:rsidRDefault="000140D8" w:rsidP="006259F6">
      <w:pPr>
        <w:spacing w:line="360" w:lineRule="auto"/>
        <w:rPr>
          <w:rFonts w:cs="Arial"/>
          <w:lang w:val="es-ES"/>
        </w:rPr>
      </w:pPr>
      <w:r w:rsidRPr="000016AF">
        <w:rPr>
          <w:rFonts w:cs="Arial"/>
          <w:lang w:val="es-ES"/>
        </w:rPr>
        <w:t>El desglose por género se hace en tres categorías</w:t>
      </w:r>
      <w:r w:rsidR="00263423">
        <w:rPr>
          <w:rFonts w:cs="Arial"/>
          <w:lang w:val="es-ES"/>
        </w:rPr>
        <w:t>: hombres, mujeres y no binarios.</w:t>
      </w:r>
    </w:p>
    <w:p w14:paraId="218AAE6E" w14:textId="77777777" w:rsidR="000140D8" w:rsidRPr="000016AF" w:rsidRDefault="000140D8" w:rsidP="00150303">
      <w:pPr>
        <w:rPr>
          <w:rFonts w:cs="Arial"/>
          <w:lang w:val="es-ES"/>
        </w:rPr>
      </w:pPr>
      <w:r w:rsidRPr="000016AF">
        <w:rPr>
          <w:rFonts w:cs="Arial"/>
          <w:lang w:val="es-ES"/>
        </w:rPr>
        <w:t>Esta última se considera para aquellos participantes que no entren en ninguna de las dos categorías (mujeres/hombres) o que no deseen ser asociados a una de ellas. Estos individuos se registrarán como "no binarios".</w:t>
      </w:r>
    </w:p>
    <w:p w14:paraId="60527F83" w14:textId="77777777" w:rsidR="000140D8" w:rsidRPr="000016AF" w:rsidRDefault="000140D8" w:rsidP="00576B33">
      <w:pPr>
        <w:rPr>
          <w:rFonts w:cs="Arial"/>
          <w:lang w:val="es-ES"/>
        </w:rPr>
      </w:pPr>
    </w:p>
    <w:p w14:paraId="57F29E5A" w14:textId="50A7F315" w:rsidR="000140D8" w:rsidRPr="000016AF" w:rsidRDefault="000140D8" w:rsidP="006259F6">
      <w:pPr>
        <w:spacing w:line="360" w:lineRule="auto"/>
        <w:rPr>
          <w:rFonts w:cs="Arial"/>
          <w:lang w:val="es-ES"/>
        </w:rPr>
      </w:pPr>
      <w:r w:rsidRPr="000016AF">
        <w:rPr>
          <w:rFonts w:cs="Arial"/>
          <w:lang w:val="es-ES"/>
        </w:rPr>
        <w:t xml:space="preserve">Todos los indicadores relacionados con personas deben notificarse </w:t>
      </w:r>
      <w:r w:rsidR="00263423">
        <w:rPr>
          <w:rFonts w:cs="Arial"/>
          <w:lang w:val="es-ES"/>
        </w:rPr>
        <w:t xml:space="preserve">además </w:t>
      </w:r>
      <w:r w:rsidRPr="000016AF">
        <w:rPr>
          <w:rFonts w:cs="Arial"/>
          <w:lang w:val="es-ES"/>
        </w:rPr>
        <w:t>por grupos de edad:</w:t>
      </w:r>
    </w:p>
    <w:p w14:paraId="11B1D3C4" w14:textId="77777777" w:rsidR="000140D8" w:rsidRPr="000016AF" w:rsidRDefault="006259F6" w:rsidP="006259F6">
      <w:pPr>
        <w:pStyle w:val="Prrafodelista"/>
        <w:numPr>
          <w:ilvl w:val="0"/>
          <w:numId w:val="2"/>
        </w:numPr>
        <w:spacing w:line="360" w:lineRule="auto"/>
        <w:rPr>
          <w:rFonts w:cs="Arial"/>
          <w:lang w:val="es-ES"/>
        </w:rPr>
      </w:pPr>
      <w:r w:rsidRPr="000016AF">
        <w:rPr>
          <w:rFonts w:cs="Arial"/>
          <w:lang w:val="es-ES"/>
        </w:rPr>
        <w:t xml:space="preserve">edad </w:t>
      </w:r>
      <w:r w:rsidR="000140D8" w:rsidRPr="000016AF">
        <w:rPr>
          <w:rFonts w:cs="Arial"/>
          <w:lang w:val="es-ES"/>
        </w:rPr>
        <w:t>&lt;18</w:t>
      </w:r>
      <w:r w:rsidR="002E5D0D" w:rsidRPr="000016AF">
        <w:rPr>
          <w:rFonts w:cs="Arial"/>
          <w:lang w:val="es-ES"/>
        </w:rPr>
        <w:t xml:space="preserve">, </w:t>
      </w:r>
    </w:p>
    <w:p w14:paraId="6E15BD59" w14:textId="77777777" w:rsidR="000140D8" w:rsidRPr="000016AF" w:rsidRDefault="006259F6" w:rsidP="006259F6">
      <w:pPr>
        <w:pStyle w:val="Prrafodelista"/>
        <w:numPr>
          <w:ilvl w:val="0"/>
          <w:numId w:val="2"/>
        </w:numPr>
        <w:spacing w:line="360" w:lineRule="auto"/>
        <w:rPr>
          <w:rFonts w:cs="Arial"/>
          <w:lang w:val="es-ES"/>
        </w:rPr>
      </w:pPr>
      <w:r w:rsidRPr="000016AF">
        <w:rPr>
          <w:rFonts w:cs="Arial"/>
          <w:lang w:val="es-ES"/>
        </w:rPr>
        <w:t xml:space="preserve">edad entre </w:t>
      </w:r>
      <w:r w:rsidR="000140D8" w:rsidRPr="000016AF">
        <w:rPr>
          <w:rFonts w:cs="Arial"/>
          <w:lang w:val="es-ES"/>
        </w:rPr>
        <w:t>18-60</w:t>
      </w:r>
      <w:r w:rsidR="002E5D0D" w:rsidRPr="000016AF">
        <w:rPr>
          <w:rFonts w:cs="Arial"/>
          <w:lang w:val="es-ES"/>
        </w:rPr>
        <w:t xml:space="preserve"> y</w:t>
      </w:r>
    </w:p>
    <w:p w14:paraId="52E7DD9E" w14:textId="43ACA340" w:rsidR="0059338C" w:rsidRDefault="006259F6" w:rsidP="0059338C">
      <w:pPr>
        <w:pStyle w:val="Prrafodelista"/>
        <w:numPr>
          <w:ilvl w:val="0"/>
          <w:numId w:val="2"/>
        </w:numPr>
        <w:spacing w:after="120" w:line="360" w:lineRule="auto"/>
        <w:rPr>
          <w:rFonts w:cs="Arial"/>
          <w:lang w:val="es-ES"/>
        </w:rPr>
      </w:pPr>
      <w:r w:rsidRPr="000016AF">
        <w:rPr>
          <w:rFonts w:cs="Arial"/>
          <w:lang w:val="es-ES"/>
        </w:rPr>
        <w:t xml:space="preserve">edad </w:t>
      </w:r>
      <w:r w:rsidR="000140D8" w:rsidRPr="000016AF">
        <w:rPr>
          <w:rFonts w:cs="Arial"/>
          <w:lang w:val="es-ES"/>
        </w:rPr>
        <w:t>&gt;60 años</w:t>
      </w:r>
      <w:r w:rsidRPr="000016AF">
        <w:rPr>
          <w:rFonts w:cs="Arial"/>
          <w:lang w:val="es-ES"/>
        </w:rPr>
        <w:t>.</w:t>
      </w:r>
    </w:p>
    <w:p w14:paraId="609D3483" w14:textId="61EDA7C6" w:rsidR="00263423" w:rsidRDefault="00263423" w:rsidP="00263423">
      <w:pPr>
        <w:spacing w:after="120" w:line="360" w:lineRule="auto"/>
        <w:rPr>
          <w:lang w:val="es-ES" w:eastAsia="de-DE"/>
        </w:rPr>
      </w:pPr>
      <w:r>
        <w:rPr>
          <w:lang w:val="es-ES" w:eastAsia="de-DE"/>
        </w:rPr>
        <w:t xml:space="preserve">Entonces todos los indicadores relacionados con personas </w:t>
      </w:r>
      <w:r w:rsidRPr="00263423">
        <w:rPr>
          <w:lang w:val="es-ES" w:eastAsia="de-DE"/>
        </w:rPr>
        <w:t>debe</w:t>
      </w:r>
      <w:r>
        <w:rPr>
          <w:lang w:val="es-ES" w:eastAsia="de-DE"/>
        </w:rPr>
        <w:t>n</w:t>
      </w:r>
      <w:r w:rsidRPr="00263423">
        <w:rPr>
          <w:lang w:val="es-ES" w:eastAsia="de-DE"/>
        </w:rPr>
        <w:t xml:space="preserve"> proporcionarse información desglosada por género y grupo de edad según las </w:t>
      </w:r>
      <w:r>
        <w:rPr>
          <w:lang w:val="es-ES" w:eastAsia="de-DE"/>
        </w:rPr>
        <w:t xml:space="preserve">siguientes </w:t>
      </w:r>
      <w:r w:rsidRPr="00263423">
        <w:rPr>
          <w:lang w:val="es-ES" w:eastAsia="de-DE"/>
        </w:rPr>
        <w:t>actuaciones</w:t>
      </w:r>
      <w:r>
        <w:rPr>
          <w:lang w:val="es-ES" w:eastAsia="de-DE"/>
        </w:rPr>
        <w:t>:</w:t>
      </w:r>
    </w:p>
    <w:p w14:paraId="11271051" w14:textId="77777777" w:rsidR="00263423" w:rsidRDefault="00263423" w:rsidP="00263423">
      <w:pPr>
        <w:pStyle w:val="Prrafodelista"/>
        <w:numPr>
          <w:ilvl w:val="0"/>
          <w:numId w:val="20"/>
        </w:numPr>
        <w:spacing w:before="120" w:line="360" w:lineRule="auto"/>
        <w:contextualSpacing w:val="0"/>
        <w:rPr>
          <w:lang w:eastAsia="de-DE"/>
        </w:rPr>
      </w:pPr>
      <w:r>
        <w:rPr>
          <w:lang w:eastAsia="de-DE"/>
        </w:rPr>
        <w:t>hombres menores de 18 a</w:t>
      </w:r>
      <w:r>
        <w:rPr>
          <w:rFonts w:cs="Arial"/>
        </w:rPr>
        <w:t>ñ</w:t>
      </w:r>
      <w:r>
        <w:rPr>
          <w:lang w:eastAsia="de-DE"/>
        </w:rPr>
        <w:t>os,</w:t>
      </w:r>
    </w:p>
    <w:p w14:paraId="22A9A3FB" w14:textId="77777777" w:rsidR="00263423" w:rsidRDefault="00263423" w:rsidP="00263423">
      <w:pPr>
        <w:pStyle w:val="Prrafodelista"/>
        <w:numPr>
          <w:ilvl w:val="0"/>
          <w:numId w:val="20"/>
        </w:numPr>
        <w:spacing w:line="360" w:lineRule="auto"/>
        <w:contextualSpacing w:val="0"/>
        <w:rPr>
          <w:lang w:eastAsia="de-DE"/>
        </w:rPr>
      </w:pPr>
      <w:r>
        <w:rPr>
          <w:lang w:eastAsia="de-DE"/>
        </w:rPr>
        <w:t>hombres entre 18 y 60 a</w:t>
      </w:r>
      <w:r>
        <w:rPr>
          <w:rFonts w:cs="Arial"/>
        </w:rPr>
        <w:t xml:space="preserve">ños, </w:t>
      </w:r>
    </w:p>
    <w:p w14:paraId="6104A2A2" w14:textId="77777777" w:rsidR="00263423" w:rsidRDefault="00263423" w:rsidP="00263423">
      <w:pPr>
        <w:pStyle w:val="Prrafodelista"/>
        <w:numPr>
          <w:ilvl w:val="0"/>
          <w:numId w:val="20"/>
        </w:numPr>
        <w:spacing w:line="360" w:lineRule="auto"/>
        <w:contextualSpacing w:val="0"/>
        <w:rPr>
          <w:lang w:eastAsia="de-DE"/>
        </w:rPr>
      </w:pPr>
      <w:r>
        <w:rPr>
          <w:lang w:eastAsia="de-DE"/>
        </w:rPr>
        <w:t>hombres mayores de 60 a</w:t>
      </w:r>
      <w:r>
        <w:rPr>
          <w:rFonts w:cs="Arial"/>
        </w:rPr>
        <w:t xml:space="preserve">ños, </w:t>
      </w:r>
    </w:p>
    <w:p w14:paraId="09E00183" w14:textId="77777777" w:rsidR="00263423" w:rsidRDefault="00263423" w:rsidP="00263423">
      <w:pPr>
        <w:pStyle w:val="Prrafodelista"/>
        <w:numPr>
          <w:ilvl w:val="0"/>
          <w:numId w:val="20"/>
        </w:numPr>
        <w:spacing w:line="360" w:lineRule="auto"/>
        <w:contextualSpacing w:val="0"/>
        <w:rPr>
          <w:lang w:eastAsia="de-DE"/>
        </w:rPr>
      </w:pPr>
      <w:r>
        <w:rPr>
          <w:lang w:eastAsia="de-DE"/>
        </w:rPr>
        <w:t>mujeres menores de 18 a</w:t>
      </w:r>
      <w:r>
        <w:rPr>
          <w:rFonts w:cs="Arial"/>
        </w:rPr>
        <w:t>ñ</w:t>
      </w:r>
      <w:r>
        <w:rPr>
          <w:lang w:eastAsia="de-DE"/>
        </w:rPr>
        <w:t>os,</w:t>
      </w:r>
    </w:p>
    <w:p w14:paraId="71A6BE34" w14:textId="77777777" w:rsidR="00263423" w:rsidRDefault="00263423" w:rsidP="00263423">
      <w:pPr>
        <w:pStyle w:val="Prrafodelista"/>
        <w:numPr>
          <w:ilvl w:val="0"/>
          <w:numId w:val="20"/>
        </w:numPr>
        <w:spacing w:line="360" w:lineRule="auto"/>
        <w:contextualSpacing w:val="0"/>
        <w:rPr>
          <w:lang w:eastAsia="de-DE"/>
        </w:rPr>
      </w:pPr>
      <w:r>
        <w:rPr>
          <w:lang w:eastAsia="de-DE"/>
        </w:rPr>
        <w:t>mujeres entre 18 y 60 a</w:t>
      </w:r>
      <w:r>
        <w:rPr>
          <w:rFonts w:cs="Arial"/>
        </w:rPr>
        <w:t xml:space="preserve">ños, </w:t>
      </w:r>
    </w:p>
    <w:p w14:paraId="24DBB2E6" w14:textId="77777777" w:rsidR="00263423" w:rsidRDefault="00263423" w:rsidP="00263423">
      <w:pPr>
        <w:pStyle w:val="Prrafodelista"/>
        <w:numPr>
          <w:ilvl w:val="0"/>
          <w:numId w:val="20"/>
        </w:numPr>
        <w:spacing w:line="360" w:lineRule="auto"/>
        <w:contextualSpacing w:val="0"/>
        <w:rPr>
          <w:lang w:eastAsia="de-DE"/>
        </w:rPr>
      </w:pPr>
      <w:r>
        <w:rPr>
          <w:lang w:eastAsia="de-DE"/>
        </w:rPr>
        <w:t>mujeres mayores de 60 a</w:t>
      </w:r>
      <w:r>
        <w:rPr>
          <w:rFonts w:cs="Arial"/>
        </w:rPr>
        <w:t xml:space="preserve">ños, </w:t>
      </w:r>
    </w:p>
    <w:p w14:paraId="1B6AEB83" w14:textId="77777777" w:rsidR="00263423" w:rsidRPr="00263423" w:rsidRDefault="00263423" w:rsidP="00263423">
      <w:pPr>
        <w:pStyle w:val="Prrafodelista"/>
        <w:numPr>
          <w:ilvl w:val="0"/>
          <w:numId w:val="20"/>
        </w:numPr>
        <w:spacing w:line="360" w:lineRule="auto"/>
        <w:contextualSpacing w:val="0"/>
        <w:rPr>
          <w:lang w:val="es-ES" w:eastAsia="de-DE"/>
        </w:rPr>
      </w:pPr>
      <w:r w:rsidRPr="00263423">
        <w:rPr>
          <w:lang w:val="es-ES" w:eastAsia="de-DE"/>
        </w:rPr>
        <w:t>no binarios menores de 18 a</w:t>
      </w:r>
      <w:r w:rsidRPr="00263423">
        <w:rPr>
          <w:rFonts w:cs="Arial"/>
          <w:lang w:val="es-ES"/>
        </w:rPr>
        <w:t>ñ</w:t>
      </w:r>
      <w:r w:rsidRPr="00263423">
        <w:rPr>
          <w:lang w:val="es-ES" w:eastAsia="de-DE"/>
        </w:rPr>
        <w:t>os,</w:t>
      </w:r>
    </w:p>
    <w:p w14:paraId="6FD9BEC7" w14:textId="77777777" w:rsidR="00263423" w:rsidRPr="00263423" w:rsidRDefault="00263423" w:rsidP="00263423">
      <w:pPr>
        <w:pStyle w:val="Prrafodelista"/>
        <w:numPr>
          <w:ilvl w:val="0"/>
          <w:numId w:val="20"/>
        </w:numPr>
        <w:spacing w:line="360" w:lineRule="auto"/>
        <w:contextualSpacing w:val="0"/>
        <w:rPr>
          <w:lang w:val="es-ES" w:eastAsia="de-DE"/>
        </w:rPr>
      </w:pPr>
      <w:r w:rsidRPr="00263423">
        <w:rPr>
          <w:lang w:val="es-ES" w:eastAsia="de-DE"/>
        </w:rPr>
        <w:t>no binarios entre 18 y 60 a</w:t>
      </w:r>
      <w:r w:rsidRPr="00263423">
        <w:rPr>
          <w:rFonts w:cs="Arial"/>
          <w:lang w:val="es-ES"/>
        </w:rPr>
        <w:t>ños y</w:t>
      </w:r>
    </w:p>
    <w:p w14:paraId="4A9C9723" w14:textId="35C8583B" w:rsidR="00263423" w:rsidRPr="00263423" w:rsidRDefault="00263423" w:rsidP="00263423">
      <w:pPr>
        <w:pStyle w:val="Prrafodelista"/>
        <w:numPr>
          <w:ilvl w:val="0"/>
          <w:numId w:val="20"/>
        </w:numPr>
        <w:spacing w:after="120" w:line="360" w:lineRule="auto"/>
        <w:contextualSpacing w:val="0"/>
        <w:rPr>
          <w:lang w:val="es-ES" w:eastAsia="de-DE"/>
        </w:rPr>
      </w:pPr>
      <w:r w:rsidRPr="00263423">
        <w:rPr>
          <w:lang w:val="es-ES" w:eastAsia="de-DE"/>
        </w:rPr>
        <w:t>no binarios mayores de 60 a</w:t>
      </w:r>
      <w:r w:rsidRPr="00263423">
        <w:rPr>
          <w:rFonts w:cs="Arial"/>
          <w:lang w:val="es-ES"/>
        </w:rPr>
        <w:t>ños.</w:t>
      </w:r>
    </w:p>
    <w:p w14:paraId="49B205CE" w14:textId="6B29E2B0" w:rsidR="00323983" w:rsidRPr="000016AF" w:rsidRDefault="00BF4F24" w:rsidP="00576B33">
      <w:pPr>
        <w:rPr>
          <w:rFonts w:cs="Arial"/>
          <w:lang w:val="es-ES"/>
        </w:rPr>
      </w:pPr>
      <w:r w:rsidRPr="000016AF">
        <w:rPr>
          <w:rFonts w:cs="Arial"/>
          <w:lang w:val="es-ES"/>
        </w:rPr>
        <w:t xml:space="preserve">Los datos de los participantes deben incluirse en el sistema cuando la persona </w:t>
      </w:r>
      <w:r w:rsidRPr="000016AF">
        <w:rPr>
          <w:rFonts w:cs="Arial"/>
          <w:u w:val="single"/>
          <w:lang w:val="es-ES"/>
        </w:rPr>
        <w:t>entra en el proyecto</w:t>
      </w:r>
      <w:r w:rsidRPr="000016AF">
        <w:rPr>
          <w:rFonts w:cs="Arial"/>
          <w:lang w:val="es-ES"/>
        </w:rPr>
        <w:t>.</w:t>
      </w:r>
      <w:r w:rsidR="00FA7688">
        <w:rPr>
          <w:rFonts w:cs="Arial"/>
          <w:lang w:val="es-ES"/>
        </w:rPr>
        <w:t xml:space="preserve"> </w:t>
      </w:r>
      <w:r w:rsidRPr="000016AF">
        <w:rPr>
          <w:rFonts w:cs="Arial"/>
          <w:lang w:val="es-ES"/>
        </w:rPr>
        <w:t xml:space="preserve">La edad se registra </w:t>
      </w:r>
      <w:r w:rsidR="00FA7688">
        <w:rPr>
          <w:rFonts w:cs="Arial"/>
          <w:lang w:val="es-ES"/>
        </w:rPr>
        <w:t xml:space="preserve">solamente </w:t>
      </w:r>
      <w:r w:rsidRPr="000016AF">
        <w:rPr>
          <w:rFonts w:cs="Arial"/>
          <w:lang w:val="es-ES"/>
        </w:rPr>
        <w:t xml:space="preserve">al entrar el participante. Si ese participante sale y vuelve a entrar en el mismo proyecto para, por ejemplo, otra formación, la edad registrada </w:t>
      </w:r>
      <w:r w:rsidRPr="000016AF">
        <w:rPr>
          <w:rFonts w:cs="Arial"/>
          <w:lang w:val="es-ES"/>
        </w:rPr>
        <w:lastRenderedPageBreak/>
        <w:t xml:space="preserve">del participante </w:t>
      </w:r>
      <w:r w:rsidRPr="000016AF">
        <w:rPr>
          <w:rFonts w:cs="Arial"/>
          <w:u w:val="single"/>
          <w:lang w:val="es-ES"/>
        </w:rPr>
        <w:t>no se modifica</w:t>
      </w:r>
      <w:r w:rsidR="00FA7688">
        <w:rPr>
          <w:rFonts w:cs="Arial"/>
          <w:lang w:val="es-ES"/>
        </w:rPr>
        <w:t>, s</w:t>
      </w:r>
      <w:r w:rsidRPr="000016AF">
        <w:rPr>
          <w:rFonts w:cs="Arial"/>
          <w:lang w:val="es-ES"/>
        </w:rPr>
        <w:t xml:space="preserve">igue siendo la edad que se registró cuando la persona entró por primera vez. </w:t>
      </w:r>
    </w:p>
    <w:p w14:paraId="4E5182C3" w14:textId="77777777" w:rsidR="003C27F0" w:rsidRPr="000016AF" w:rsidRDefault="003C27F0" w:rsidP="00576B33">
      <w:pPr>
        <w:rPr>
          <w:rFonts w:cs="Arial"/>
          <w:lang w:val="es-ES"/>
        </w:rPr>
      </w:pPr>
    </w:p>
    <w:p w14:paraId="4D958AB9" w14:textId="77777777" w:rsidR="002E5D0D" w:rsidRPr="000016AF" w:rsidRDefault="002E5D0D" w:rsidP="002E5D0D">
      <w:pPr>
        <w:rPr>
          <w:rFonts w:cs="Arial"/>
          <w:lang w:val="es-ES"/>
        </w:rPr>
      </w:pPr>
      <w:r w:rsidRPr="000016AF">
        <w:rPr>
          <w:rFonts w:cs="Arial"/>
          <w:lang w:val="es-ES"/>
        </w:rPr>
        <w:t xml:space="preserve">Cuando un participante entra en el proyecto, puede ser registrado y reportado bajo este indicador. </w:t>
      </w:r>
    </w:p>
    <w:p w14:paraId="7CF7C1B5" w14:textId="77777777" w:rsidR="006259F6" w:rsidRPr="000016AF" w:rsidRDefault="006259F6" w:rsidP="002E5D0D">
      <w:pPr>
        <w:rPr>
          <w:rFonts w:cs="Arial"/>
          <w:lang w:val="es-ES"/>
        </w:rPr>
      </w:pPr>
    </w:p>
    <w:p w14:paraId="47CF292D" w14:textId="70A42688" w:rsidR="002E5D0D" w:rsidRDefault="002E5D0D" w:rsidP="002E5D0D">
      <w:pPr>
        <w:rPr>
          <w:rFonts w:cs="Arial"/>
          <w:lang w:val="es-ES"/>
        </w:rPr>
      </w:pPr>
      <w:r w:rsidRPr="000016AF">
        <w:rPr>
          <w:rFonts w:cs="Arial"/>
          <w:lang w:val="es-ES"/>
        </w:rPr>
        <w:t>Si la misma persona recibe diferentes formas de apoyo, debe ser reportada sólo una vez en el proyecto, excepto en el caso de los subindicadores</w:t>
      </w:r>
      <w:r w:rsidR="00FA7688">
        <w:rPr>
          <w:rFonts w:cs="Arial"/>
          <w:lang w:val="es-ES"/>
        </w:rPr>
        <w:t>,</w:t>
      </w:r>
      <w:r w:rsidRPr="000016AF">
        <w:rPr>
          <w:rFonts w:cs="Arial"/>
          <w:lang w:val="es-ES"/>
        </w:rPr>
        <w:t xml:space="preserve"> en los que la misma persona puede ser reportada bajo varios subindicadores. Sin embargo, si una persona abandona un proyecto y comienza en otro diferente, esto se considerará y</w:t>
      </w:r>
      <w:r w:rsidR="00FA7688">
        <w:rPr>
          <w:rFonts w:cs="Arial"/>
          <w:lang w:val="es-ES"/>
        </w:rPr>
        <w:t xml:space="preserve"> se</w:t>
      </w:r>
      <w:r w:rsidRPr="000016AF">
        <w:rPr>
          <w:rFonts w:cs="Arial"/>
          <w:lang w:val="es-ES"/>
        </w:rPr>
        <w:t xml:space="preserve"> registrará como una nueva participación.</w:t>
      </w:r>
    </w:p>
    <w:p w14:paraId="3FC0FC57" w14:textId="699D5D03" w:rsidR="006C390A" w:rsidRDefault="006C390A" w:rsidP="002E5D0D">
      <w:pPr>
        <w:rPr>
          <w:rFonts w:cs="Arial"/>
          <w:lang w:val="es-ES"/>
        </w:rPr>
      </w:pPr>
    </w:p>
    <w:p w14:paraId="11BAB0B1" w14:textId="42194307" w:rsidR="006C390A" w:rsidRPr="000016AF" w:rsidRDefault="006C390A" w:rsidP="002E5D0D">
      <w:pPr>
        <w:rPr>
          <w:rFonts w:cs="Arial"/>
          <w:lang w:val="es-ES"/>
        </w:rPr>
      </w:pPr>
      <w:r w:rsidRPr="006C390A">
        <w:rPr>
          <w:rFonts w:cs="Arial"/>
          <w:lang w:val="es-ES"/>
        </w:rPr>
        <w:t>Los participantes se contabilizan en la(s) comunidad(es) autónoma(s) donde se ha realizado el proyecto, independientemente de su lugar de residencia y/o empadronamiento.</w:t>
      </w:r>
      <w:r w:rsidR="00577D2E">
        <w:rPr>
          <w:rFonts w:cs="Arial"/>
          <w:lang w:val="es-ES"/>
        </w:rPr>
        <w:br w:type="page"/>
      </w:r>
    </w:p>
    <w:p w14:paraId="2263C67F" w14:textId="77777777" w:rsidR="009E247B" w:rsidRPr="000016AF" w:rsidRDefault="009E247B" w:rsidP="002E5D0D">
      <w:pPr>
        <w:rPr>
          <w:rFonts w:cs="Arial"/>
          <w:lang w:val="es-ES"/>
        </w:rPr>
      </w:pPr>
    </w:p>
    <w:p w14:paraId="552A31EE" w14:textId="577FEB0C" w:rsidR="008B0FA8" w:rsidRPr="000016AF" w:rsidRDefault="008B0FA8" w:rsidP="008B0FA8">
      <w:pPr>
        <w:pStyle w:val="Prrafodelista"/>
        <w:numPr>
          <w:ilvl w:val="1"/>
          <w:numId w:val="12"/>
        </w:numPr>
        <w:outlineLvl w:val="1"/>
        <w:rPr>
          <w:rFonts w:cs="Arial"/>
          <w:b/>
          <w:lang w:val="es-ES"/>
        </w:rPr>
      </w:pPr>
      <w:bookmarkStart w:id="5" w:name="_Toc95467676"/>
      <w:r w:rsidRPr="000016AF">
        <w:rPr>
          <w:rFonts w:cs="Arial"/>
          <w:b/>
          <w:lang w:val="es-ES"/>
        </w:rPr>
        <w:t>Objetivo Específico 2: Integración y migración legal</w:t>
      </w:r>
      <w:bookmarkEnd w:id="5"/>
    </w:p>
    <w:p w14:paraId="4ECA6707" w14:textId="77777777" w:rsidR="008B0FA8" w:rsidRPr="000016AF" w:rsidRDefault="008B0FA8" w:rsidP="008B0FA8">
      <w:pPr>
        <w:rPr>
          <w:rFonts w:cs="Arial"/>
          <w:lang w:val="es-ES"/>
        </w:rPr>
      </w:pPr>
    </w:p>
    <w:p w14:paraId="45DF6324" w14:textId="49515A69" w:rsidR="008B0FA8" w:rsidRPr="000016AF" w:rsidRDefault="008B0FA8" w:rsidP="008B0FA8">
      <w:pPr>
        <w:rPr>
          <w:rFonts w:cs="Arial"/>
          <w:lang w:val="es-ES"/>
        </w:rPr>
      </w:pPr>
      <w:r w:rsidRPr="000016AF">
        <w:rPr>
          <w:rFonts w:cs="Arial"/>
          <w:lang w:val="es-ES"/>
        </w:rPr>
        <w:t xml:space="preserve">El </w:t>
      </w:r>
      <w:r w:rsidRPr="000016AF">
        <w:rPr>
          <w:rFonts w:cs="Arial"/>
          <w:b/>
          <w:lang w:val="es-ES"/>
        </w:rPr>
        <w:t>Objetivo Específico 2</w:t>
      </w:r>
      <w:r w:rsidRPr="000016AF">
        <w:rPr>
          <w:rFonts w:cs="Arial"/>
          <w:lang w:val="es-ES"/>
        </w:rPr>
        <w:t xml:space="preserve"> incluye el refuerzo y desarrollo de la migración legal hacia los Estados miembros de acuerdo con sus necesidades económicas y sociales, y la promoción y contribución a la integración efectiva y la inclusión social de los nacionales de terceros países.</w:t>
      </w:r>
    </w:p>
    <w:p w14:paraId="25EB2FA0" w14:textId="77777777" w:rsidR="008B0FA8" w:rsidRPr="000016AF" w:rsidRDefault="008B0FA8" w:rsidP="008B0FA8">
      <w:pPr>
        <w:rPr>
          <w:rFonts w:cs="Arial"/>
          <w:lang w:val="es-ES"/>
        </w:rPr>
      </w:pPr>
    </w:p>
    <w:p w14:paraId="4A8ED4E8" w14:textId="7C3A923B" w:rsidR="008B0FA8" w:rsidRPr="000016AF" w:rsidRDefault="008B0FA8" w:rsidP="008B0FA8">
      <w:pPr>
        <w:rPr>
          <w:rFonts w:cs="Arial"/>
          <w:lang w:val="es-ES"/>
        </w:rPr>
      </w:pPr>
      <w:r w:rsidRPr="000016AF">
        <w:rPr>
          <w:rFonts w:cs="Arial"/>
          <w:lang w:val="es-ES"/>
        </w:rPr>
        <w:t>Los posibles indicadores de realización del Objetivo Específico 2 son las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792"/>
      </w:tblGrid>
      <w:tr w:rsidR="001256A5" w:rsidRPr="000016AF" w14:paraId="4626358F" w14:textId="77777777" w:rsidTr="008B0FA8">
        <w:trPr>
          <w:tblHeader/>
        </w:trPr>
        <w:tc>
          <w:tcPr>
            <w:tcW w:w="701" w:type="pct"/>
            <w:tcBorders>
              <w:top w:val="single" w:sz="4" w:space="0" w:color="000000"/>
              <w:left w:val="single" w:sz="4" w:space="0" w:color="000000"/>
              <w:bottom w:val="single" w:sz="4" w:space="0" w:color="000000"/>
              <w:right w:val="single" w:sz="4" w:space="0" w:color="000000"/>
            </w:tcBorders>
            <w:shd w:val="clear" w:color="auto" w:fill="D9E1F2"/>
            <w:tcMar>
              <w:top w:w="0" w:type="dxa"/>
              <w:left w:w="60" w:type="dxa"/>
              <w:bottom w:w="60" w:type="dxa"/>
              <w:right w:w="60" w:type="dxa"/>
            </w:tcMar>
            <w:vAlign w:val="center"/>
          </w:tcPr>
          <w:p w14:paraId="648AA291" w14:textId="1657986B" w:rsidR="001256A5" w:rsidRPr="000016AF" w:rsidRDefault="001256A5" w:rsidP="001256A5">
            <w:pPr>
              <w:spacing w:before="60" w:after="60"/>
              <w:rPr>
                <w:rFonts w:cs="Arial"/>
                <w:b/>
                <w:bCs/>
                <w:lang w:val="es-ES" w:eastAsia="de-DE"/>
              </w:rPr>
            </w:pPr>
            <w:r w:rsidRPr="000016AF">
              <w:rPr>
                <w:b/>
                <w:lang w:val="es-ES"/>
              </w:rPr>
              <w:t>Identificador</w:t>
            </w:r>
          </w:p>
        </w:tc>
        <w:tc>
          <w:tcPr>
            <w:tcW w:w="4299" w:type="pct"/>
            <w:tcBorders>
              <w:top w:val="single" w:sz="4" w:space="0" w:color="000000"/>
              <w:left w:val="single" w:sz="4" w:space="0" w:color="000000"/>
              <w:bottom w:val="single" w:sz="4" w:space="0" w:color="000000"/>
              <w:right w:val="single" w:sz="4" w:space="0" w:color="000000"/>
            </w:tcBorders>
            <w:shd w:val="clear" w:color="auto" w:fill="D9E1F2"/>
            <w:tcMar>
              <w:top w:w="0" w:type="dxa"/>
              <w:left w:w="60" w:type="dxa"/>
              <w:bottom w:w="60" w:type="dxa"/>
              <w:right w:w="60" w:type="dxa"/>
            </w:tcMar>
            <w:vAlign w:val="center"/>
          </w:tcPr>
          <w:p w14:paraId="358B9029" w14:textId="397EF95E" w:rsidR="001256A5" w:rsidRPr="000016AF" w:rsidRDefault="001256A5" w:rsidP="001256A5">
            <w:pPr>
              <w:spacing w:before="60" w:after="60"/>
              <w:rPr>
                <w:rFonts w:cs="Arial"/>
                <w:b/>
                <w:bCs/>
                <w:lang w:val="es-ES" w:eastAsia="de-DE"/>
              </w:rPr>
            </w:pPr>
            <w:r w:rsidRPr="000016AF">
              <w:rPr>
                <w:b/>
                <w:lang w:val="es-ES"/>
              </w:rPr>
              <w:t>Indicador</w:t>
            </w:r>
          </w:p>
        </w:tc>
      </w:tr>
      <w:tr w:rsidR="001256A5" w:rsidRPr="000A250C" w14:paraId="033A6126"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42E17F6C" w14:textId="57316357" w:rsidR="001256A5" w:rsidRPr="000016AF" w:rsidRDefault="001256A5" w:rsidP="001256A5">
            <w:pPr>
              <w:spacing w:before="60" w:after="60"/>
              <w:rPr>
                <w:rFonts w:cs="Arial"/>
                <w:lang w:val="es-ES"/>
              </w:rPr>
            </w:pPr>
            <w:r w:rsidRPr="000016AF">
              <w:rPr>
                <w:lang w:val="es-ES"/>
              </w:rPr>
              <w:t>O.2.1</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5FE22F38" w14:textId="1CBCD26E" w:rsidR="001256A5" w:rsidRPr="000016AF" w:rsidRDefault="001256A5" w:rsidP="001256A5">
            <w:pPr>
              <w:spacing w:before="60" w:after="60"/>
              <w:rPr>
                <w:rFonts w:cs="Arial"/>
                <w:lang w:val="es-ES"/>
              </w:rPr>
            </w:pPr>
            <w:r w:rsidRPr="000016AF">
              <w:rPr>
                <w:lang w:val="es-ES"/>
              </w:rPr>
              <w:t xml:space="preserve">Número de participantes en las medidas previas a la salida </w:t>
            </w:r>
          </w:p>
        </w:tc>
      </w:tr>
      <w:tr w:rsidR="001256A5" w:rsidRPr="000A250C" w14:paraId="51F95BC9"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71AD8E32" w14:textId="12E186ED" w:rsidR="001256A5" w:rsidRPr="000016AF" w:rsidRDefault="001256A5" w:rsidP="001256A5">
            <w:pPr>
              <w:spacing w:before="60" w:after="60"/>
              <w:rPr>
                <w:rFonts w:cs="Arial"/>
                <w:lang w:val="es-ES"/>
              </w:rPr>
            </w:pPr>
            <w:r w:rsidRPr="000016AF">
              <w:rPr>
                <w:lang w:val="es-ES"/>
              </w:rPr>
              <w:t>O.2.2</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2A35187E" w14:textId="7101F814" w:rsidR="001256A5" w:rsidRPr="000016AF" w:rsidRDefault="001256A5" w:rsidP="001256A5">
            <w:pPr>
              <w:spacing w:before="60" w:after="60"/>
              <w:rPr>
                <w:rFonts w:cs="Arial"/>
                <w:lang w:val="es-ES"/>
              </w:rPr>
            </w:pPr>
            <w:r w:rsidRPr="000016AF">
              <w:rPr>
                <w:lang w:val="es-ES"/>
              </w:rPr>
              <w:t>Número de autoridades locales y regionales a las que se prestó apoyo para aplicar medidas de integración</w:t>
            </w:r>
          </w:p>
        </w:tc>
      </w:tr>
      <w:tr w:rsidR="001256A5" w:rsidRPr="000A250C" w14:paraId="5FFA852F"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664308D5" w14:textId="73970A21" w:rsidR="001256A5" w:rsidRPr="000016AF" w:rsidRDefault="001256A5" w:rsidP="001256A5">
            <w:pPr>
              <w:spacing w:before="60" w:after="60"/>
              <w:rPr>
                <w:rFonts w:cs="Arial"/>
                <w:lang w:val="es-ES"/>
              </w:rPr>
            </w:pPr>
            <w:r w:rsidRPr="000016AF">
              <w:rPr>
                <w:lang w:val="es-ES"/>
              </w:rPr>
              <w:t>O.2.3</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34B6B2EA" w14:textId="046C7F5D" w:rsidR="001256A5" w:rsidRPr="000016AF" w:rsidRDefault="001256A5" w:rsidP="001256A5">
            <w:pPr>
              <w:spacing w:before="60" w:after="60"/>
              <w:rPr>
                <w:rFonts w:cs="Arial"/>
                <w:lang w:val="es-ES"/>
              </w:rPr>
            </w:pPr>
            <w:r w:rsidRPr="000016AF">
              <w:rPr>
                <w:lang w:val="es-ES"/>
              </w:rPr>
              <w:t>Número de participantes a los que se ha prestado apoyo</w:t>
            </w:r>
          </w:p>
        </w:tc>
      </w:tr>
      <w:tr w:rsidR="001256A5" w:rsidRPr="000A250C" w14:paraId="23E93176"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28D45589" w14:textId="515ED180" w:rsidR="001256A5" w:rsidRPr="000016AF" w:rsidRDefault="001256A5" w:rsidP="001256A5">
            <w:pPr>
              <w:spacing w:before="60" w:after="60"/>
              <w:rPr>
                <w:rFonts w:cs="Arial"/>
                <w:lang w:val="es-ES"/>
              </w:rPr>
            </w:pPr>
            <w:r w:rsidRPr="000016AF">
              <w:rPr>
                <w:lang w:val="es-ES"/>
              </w:rPr>
              <w:t>O.2.3.1</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74E22D1A" w14:textId="3D97F69D" w:rsidR="001256A5" w:rsidRPr="000016AF" w:rsidRDefault="001256A5" w:rsidP="001256A5">
            <w:pPr>
              <w:spacing w:before="60" w:after="60"/>
              <w:rPr>
                <w:rFonts w:cs="Arial"/>
                <w:lang w:val="es-ES"/>
              </w:rPr>
            </w:pPr>
            <w:r w:rsidRPr="000016AF">
              <w:rPr>
                <w:lang w:val="es-ES"/>
              </w:rPr>
              <w:t>de los cuales: número de participantes en un curso de idiomas</w:t>
            </w:r>
          </w:p>
        </w:tc>
      </w:tr>
      <w:tr w:rsidR="001256A5" w:rsidRPr="000A250C" w14:paraId="574E6B0C"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441B4ED0" w14:textId="09DCBA15" w:rsidR="001256A5" w:rsidRPr="000016AF" w:rsidRDefault="001256A5" w:rsidP="001256A5">
            <w:pPr>
              <w:spacing w:before="60" w:after="60"/>
              <w:rPr>
                <w:rFonts w:cs="Arial"/>
                <w:lang w:val="es-ES"/>
              </w:rPr>
            </w:pPr>
            <w:r w:rsidRPr="000016AF">
              <w:rPr>
                <w:lang w:val="es-ES"/>
              </w:rPr>
              <w:t>O.2.3.2</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66AB5E52" w14:textId="73DB7152" w:rsidR="001256A5" w:rsidRPr="000016AF" w:rsidRDefault="001256A5" w:rsidP="001256A5">
            <w:pPr>
              <w:spacing w:before="60" w:after="60"/>
              <w:rPr>
                <w:rFonts w:cs="Arial"/>
                <w:lang w:val="es-ES"/>
              </w:rPr>
            </w:pPr>
            <w:r w:rsidRPr="000016AF">
              <w:rPr>
                <w:lang w:val="es-ES"/>
              </w:rPr>
              <w:t>de los cuales: número de participantes en un curso de orientación cívica</w:t>
            </w:r>
          </w:p>
        </w:tc>
      </w:tr>
      <w:tr w:rsidR="001256A5" w:rsidRPr="000A250C" w14:paraId="2EE12E41"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766D7D7A" w14:textId="449751BF" w:rsidR="001256A5" w:rsidRPr="000016AF" w:rsidRDefault="001256A5" w:rsidP="001256A5">
            <w:pPr>
              <w:spacing w:before="60" w:after="60"/>
              <w:rPr>
                <w:rFonts w:cs="Arial"/>
                <w:lang w:val="es-ES"/>
              </w:rPr>
            </w:pPr>
            <w:r w:rsidRPr="000016AF">
              <w:rPr>
                <w:lang w:val="es-ES"/>
              </w:rPr>
              <w:t>O.2.3.3</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6173B485" w14:textId="7C27E912" w:rsidR="001256A5" w:rsidRPr="000016AF" w:rsidRDefault="001256A5" w:rsidP="001256A5">
            <w:pPr>
              <w:spacing w:before="60" w:after="60"/>
              <w:rPr>
                <w:rFonts w:cs="Arial"/>
                <w:lang w:val="es-ES"/>
              </w:rPr>
            </w:pPr>
            <w:r w:rsidRPr="000016AF">
              <w:rPr>
                <w:lang w:val="es-ES"/>
              </w:rPr>
              <w:t>de los cuales: número de participantes que recibieron orientación profesional personalizada</w:t>
            </w:r>
          </w:p>
        </w:tc>
      </w:tr>
      <w:tr w:rsidR="001256A5" w:rsidRPr="000A250C" w14:paraId="4C631E0F"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0FB84896" w14:textId="22254BD4" w:rsidR="001256A5" w:rsidRPr="000016AF" w:rsidRDefault="001256A5" w:rsidP="001256A5">
            <w:pPr>
              <w:spacing w:before="60" w:after="60"/>
              <w:rPr>
                <w:rFonts w:cs="Arial"/>
                <w:lang w:val="es-ES"/>
              </w:rPr>
            </w:pPr>
            <w:r w:rsidRPr="000016AF">
              <w:rPr>
                <w:lang w:val="es-ES"/>
              </w:rPr>
              <w:t>O.2.4</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2BC55538" w14:textId="0BDADA43" w:rsidR="001256A5" w:rsidRPr="000016AF" w:rsidRDefault="001256A5" w:rsidP="001256A5">
            <w:pPr>
              <w:spacing w:before="60" w:after="60"/>
              <w:rPr>
                <w:rFonts w:cs="Arial"/>
                <w:lang w:val="es-ES"/>
              </w:rPr>
            </w:pPr>
            <w:r w:rsidRPr="000016AF">
              <w:rPr>
                <w:lang w:val="es-ES"/>
              </w:rPr>
              <w:t>Número de paquetes de información y campañas de sensibilización sobre las vías de migración legal hacia la Unión</w:t>
            </w:r>
          </w:p>
        </w:tc>
      </w:tr>
      <w:tr w:rsidR="001256A5" w:rsidRPr="000A250C" w14:paraId="7ABDDC79"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118501B0" w14:textId="65F3F270" w:rsidR="001256A5" w:rsidRPr="000016AF" w:rsidRDefault="001256A5" w:rsidP="001256A5">
            <w:pPr>
              <w:spacing w:before="60" w:after="60"/>
              <w:rPr>
                <w:rFonts w:cs="Arial"/>
                <w:lang w:val="es-ES"/>
              </w:rPr>
            </w:pPr>
            <w:r w:rsidRPr="000016AF">
              <w:rPr>
                <w:lang w:val="es-ES"/>
              </w:rPr>
              <w:t>O.2.5</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369E876B" w14:textId="5AA89212" w:rsidR="001256A5" w:rsidRPr="000016AF" w:rsidRDefault="001256A5" w:rsidP="001256A5">
            <w:pPr>
              <w:spacing w:before="60" w:after="60"/>
              <w:rPr>
                <w:rFonts w:cs="Arial"/>
                <w:lang w:val="es-ES"/>
              </w:rPr>
            </w:pPr>
            <w:r w:rsidRPr="000016AF">
              <w:rPr>
                <w:lang w:val="es-ES"/>
              </w:rPr>
              <w:t>Número de participantes que recibieron información o ayuda en su solicitud de reagrupación familiar</w:t>
            </w:r>
          </w:p>
        </w:tc>
      </w:tr>
      <w:tr w:rsidR="001256A5" w:rsidRPr="000A250C" w14:paraId="1C0B0185"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60C00E88" w14:textId="0FF89F26" w:rsidR="001256A5" w:rsidRPr="000016AF" w:rsidRDefault="001256A5" w:rsidP="001256A5">
            <w:pPr>
              <w:spacing w:before="60" w:after="60"/>
              <w:rPr>
                <w:rFonts w:cs="Arial"/>
                <w:lang w:val="es-ES"/>
              </w:rPr>
            </w:pPr>
            <w:r w:rsidRPr="000016AF">
              <w:rPr>
                <w:lang w:val="es-ES"/>
              </w:rPr>
              <w:t>O.2.6</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42FA6BEB" w14:textId="4FFE29C7" w:rsidR="001256A5" w:rsidRPr="000016AF" w:rsidRDefault="001256A5" w:rsidP="001256A5">
            <w:pPr>
              <w:spacing w:before="60" w:after="60"/>
              <w:rPr>
                <w:rFonts w:cs="Arial"/>
                <w:lang w:val="es-ES"/>
              </w:rPr>
            </w:pPr>
            <w:r w:rsidRPr="000016AF">
              <w:rPr>
                <w:lang w:val="es-ES"/>
              </w:rPr>
              <w:t>Número de participantes que se beneficiaron de los planes de movilidad</w:t>
            </w:r>
          </w:p>
        </w:tc>
      </w:tr>
      <w:tr w:rsidR="001256A5" w:rsidRPr="000A250C" w14:paraId="5A8EB9F4" w14:textId="77777777" w:rsidTr="008B0FA8">
        <w:tc>
          <w:tcPr>
            <w:tcW w:w="701"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66DC3BFB" w14:textId="6495A13D" w:rsidR="001256A5" w:rsidRPr="000016AF" w:rsidRDefault="001256A5" w:rsidP="001256A5">
            <w:pPr>
              <w:spacing w:before="60" w:after="60"/>
              <w:rPr>
                <w:rFonts w:cs="Arial"/>
                <w:lang w:val="es-ES"/>
              </w:rPr>
            </w:pPr>
            <w:r w:rsidRPr="000016AF">
              <w:rPr>
                <w:lang w:val="es-ES"/>
              </w:rPr>
              <w:t>O.2.7</w:t>
            </w:r>
          </w:p>
        </w:tc>
        <w:tc>
          <w:tcPr>
            <w:tcW w:w="4299"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29F5ECEB" w14:textId="5B579B38" w:rsidR="001256A5" w:rsidRPr="000016AF" w:rsidRDefault="001256A5" w:rsidP="001256A5">
            <w:pPr>
              <w:spacing w:before="60" w:after="60"/>
              <w:rPr>
                <w:rFonts w:cs="Arial"/>
                <w:lang w:val="es-ES"/>
              </w:rPr>
            </w:pPr>
            <w:r w:rsidRPr="000016AF">
              <w:rPr>
                <w:lang w:val="es-ES"/>
              </w:rPr>
              <w:t>Número de proyectos de integración en los que los entes locales y regionales son los beneficiarios</w:t>
            </w:r>
          </w:p>
        </w:tc>
      </w:tr>
    </w:tbl>
    <w:p w14:paraId="6D461B6A" w14:textId="77777777" w:rsidR="008B0FA8" w:rsidRPr="000016AF" w:rsidRDefault="008B0FA8" w:rsidP="008B0FA8">
      <w:pPr>
        <w:rPr>
          <w:rFonts w:cs="Arial"/>
          <w:lang w:val="es-ES"/>
        </w:rPr>
      </w:pPr>
    </w:p>
    <w:p w14:paraId="35969204" w14:textId="48F06AA2" w:rsidR="008B0FA8" w:rsidRPr="000016AF" w:rsidRDefault="008B0FA8" w:rsidP="008B0FA8">
      <w:pPr>
        <w:rPr>
          <w:rFonts w:cs="Arial"/>
          <w:lang w:val="es-ES"/>
        </w:rPr>
      </w:pPr>
      <w:r w:rsidRPr="000016AF">
        <w:rPr>
          <w:rFonts w:cs="Arial"/>
          <w:lang w:val="es-ES"/>
        </w:rPr>
        <w:t>Los posibles indicadores de resultados se encuentran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66"/>
      </w:tblGrid>
      <w:tr w:rsidR="001256A5" w:rsidRPr="000016AF" w14:paraId="2ADE5E89" w14:textId="77777777" w:rsidTr="008B0FA8">
        <w:trPr>
          <w:tblHeader/>
        </w:trPr>
        <w:tc>
          <w:tcPr>
            <w:tcW w:w="715" w:type="pct"/>
            <w:tcBorders>
              <w:top w:val="single" w:sz="4" w:space="0" w:color="000000"/>
              <w:left w:val="single" w:sz="4" w:space="0" w:color="000000"/>
              <w:bottom w:val="single" w:sz="4" w:space="0" w:color="000000"/>
              <w:right w:val="single" w:sz="4" w:space="0" w:color="000000"/>
            </w:tcBorders>
            <w:shd w:val="clear" w:color="auto" w:fill="D9E1F2"/>
            <w:tcMar>
              <w:top w:w="0" w:type="dxa"/>
              <w:left w:w="60" w:type="dxa"/>
              <w:bottom w:w="60" w:type="dxa"/>
              <w:right w:w="60" w:type="dxa"/>
            </w:tcMar>
            <w:vAlign w:val="center"/>
          </w:tcPr>
          <w:p w14:paraId="6C6C7B7E" w14:textId="517CBFE2" w:rsidR="001256A5" w:rsidRPr="000016AF" w:rsidRDefault="001256A5" w:rsidP="001256A5">
            <w:pPr>
              <w:spacing w:before="60" w:after="60"/>
              <w:rPr>
                <w:rFonts w:cs="Arial"/>
                <w:b/>
                <w:bCs/>
                <w:lang w:val="es-ES" w:eastAsia="de-DE"/>
              </w:rPr>
            </w:pPr>
            <w:r w:rsidRPr="000016AF">
              <w:rPr>
                <w:b/>
                <w:lang w:val="es-ES"/>
              </w:rPr>
              <w:t>Identificador</w:t>
            </w:r>
          </w:p>
        </w:tc>
        <w:tc>
          <w:tcPr>
            <w:tcW w:w="4285" w:type="pct"/>
            <w:tcBorders>
              <w:top w:val="single" w:sz="4" w:space="0" w:color="000000"/>
              <w:left w:val="single" w:sz="4" w:space="0" w:color="000000"/>
              <w:bottom w:val="single" w:sz="4" w:space="0" w:color="000000"/>
              <w:right w:val="single" w:sz="4" w:space="0" w:color="000000"/>
            </w:tcBorders>
            <w:shd w:val="clear" w:color="auto" w:fill="D9E1F2"/>
            <w:tcMar>
              <w:top w:w="0" w:type="dxa"/>
              <w:left w:w="60" w:type="dxa"/>
              <w:bottom w:w="60" w:type="dxa"/>
              <w:right w:w="60" w:type="dxa"/>
            </w:tcMar>
            <w:vAlign w:val="center"/>
          </w:tcPr>
          <w:p w14:paraId="18CA7B06" w14:textId="39DA1C4A" w:rsidR="001256A5" w:rsidRPr="000016AF" w:rsidRDefault="001256A5" w:rsidP="001256A5">
            <w:pPr>
              <w:spacing w:before="60" w:after="60"/>
              <w:rPr>
                <w:rFonts w:cs="Arial"/>
                <w:b/>
                <w:bCs/>
                <w:lang w:val="es-ES" w:eastAsia="de-DE"/>
              </w:rPr>
            </w:pPr>
            <w:r w:rsidRPr="000016AF">
              <w:rPr>
                <w:b/>
                <w:lang w:val="es-ES"/>
              </w:rPr>
              <w:t>Indicador</w:t>
            </w:r>
          </w:p>
        </w:tc>
      </w:tr>
      <w:tr w:rsidR="001256A5" w:rsidRPr="000A250C" w14:paraId="5ACB6216" w14:textId="77777777" w:rsidTr="008B0FA8">
        <w:tc>
          <w:tcPr>
            <w:tcW w:w="71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2FDD80F1" w14:textId="7F7C1EE4" w:rsidR="001256A5" w:rsidRPr="000016AF" w:rsidRDefault="001256A5" w:rsidP="001256A5">
            <w:pPr>
              <w:spacing w:before="60" w:after="60"/>
              <w:rPr>
                <w:rFonts w:cs="Arial"/>
                <w:lang w:val="es-ES"/>
              </w:rPr>
            </w:pPr>
            <w:r w:rsidRPr="000016AF">
              <w:rPr>
                <w:lang w:val="es-ES"/>
              </w:rPr>
              <w:t>R.2.8</w:t>
            </w:r>
          </w:p>
        </w:tc>
        <w:tc>
          <w:tcPr>
            <w:tcW w:w="428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5FA868DA" w14:textId="57BA1321" w:rsidR="001256A5" w:rsidRPr="000016AF" w:rsidRDefault="001256A5" w:rsidP="001256A5">
            <w:pPr>
              <w:spacing w:before="60" w:after="60"/>
              <w:rPr>
                <w:rFonts w:cs="Arial"/>
                <w:lang w:val="es-ES"/>
              </w:rPr>
            </w:pPr>
            <w:r w:rsidRPr="000016AF">
              <w:rPr>
                <w:lang w:val="es-ES"/>
              </w:rPr>
              <w:t>Número de participantes en cursos de idiomas que hayan mejorado su nivel de competencia en la lengua del país de acogida tras abandonar el curso de idiomas en al menos un nivel del Marco Común Europeo de Referencia para las Lenguas o el equivalente nacional</w:t>
            </w:r>
          </w:p>
        </w:tc>
      </w:tr>
      <w:tr w:rsidR="001256A5" w:rsidRPr="000A250C" w14:paraId="7983CDC0" w14:textId="77777777" w:rsidTr="008B0FA8">
        <w:tc>
          <w:tcPr>
            <w:tcW w:w="71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477EDF9A" w14:textId="187CAE09" w:rsidR="001256A5" w:rsidRPr="000016AF" w:rsidRDefault="001256A5" w:rsidP="001256A5">
            <w:pPr>
              <w:spacing w:before="60" w:after="60"/>
              <w:rPr>
                <w:rFonts w:cs="Arial"/>
                <w:lang w:val="es-ES"/>
              </w:rPr>
            </w:pPr>
            <w:r w:rsidRPr="000016AF">
              <w:rPr>
                <w:lang w:val="es-ES"/>
              </w:rPr>
              <w:t>R.2.9</w:t>
            </w:r>
          </w:p>
        </w:tc>
        <w:tc>
          <w:tcPr>
            <w:tcW w:w="428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6954E937" w14:textId="022D48F8" w:rsidR="001256A5" w:rsidRPr="000016AF" w:rsidRDefault="001256A5" w:rsidP="001256A5">
            <w:pPr>
              <w:spacing w:before="60" w:after="60"/>
              <w:rPr>
                <w:rFonts w:cs="Arial"/>
                <w:lang w:val="es-ES"/>
              </w:rPr>
            </w:pPr>
            <w:r w:rsidRPr="000016AF">
              <w:rPr>
                <w:lang w:val="es-ES"/>
              </w:rPr>
              <w:t>Número de participantes que informan de que la actividad ha sido útil para su integración</w:t>
            </w:r>
          </w:p>
        </w:tc>
      </w:tr>
      <w:tr w:rsidR="001256A5" w:rsidRPr="000A250C" w14:paraId="03B8C988" w14:textId="77777777" w:rsidTr="008B0FA8">
        <w:tc>
          <w:tcPr>
            <w:tcW w:w="71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507938BC" w14:textId="1E550054" w:rsidR="001256A5" w:rsidRPr="000016AF" w:rsidRDefault="001256A5" w:rsidP="001256A5">
            <w:pPr>
              <w:spacing w:before="60" w:after="60"/>
              <w:rPr>
                <w:rFonts w:cs="Arial"/>
                <w:lang w:val="es-ES"/>
              </w:rPr>
            </w:pPr>
            <w:r w:rsidRPr="000016AF">
              <w:rPr>
                <w:lang w:val="es-ES"/>
              </w:rPr>
              <w:lastRenderedPageBreak/>
              <w:t>R.2.10</w:t>
            </w:r>
          </w:p>
        </w:tc>
        <w:tc>
          <w:tcPr>
            <w:tcW w:w="428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5582530C" w14:textId="3DFA4CC4" w:rsidR="001256A5" w:rsidRPr="000016AF" w:rsidRDefault="001256A5" w:rsidP="001256A5">
            <w:pPr>
              <w:spacing w:before="60" w:after="60"/>
              <w:rPr>
                <w:rFonts w:cs="Arial"/>
                <w:lang w:val="es-ES"/>
              </w:rPr>
            </w:pPr>
            <w:r w:rsidRPr="000016AF">
              <w:rPr>
                <w:lang w:val="es-ES"/>
              </w:rPr>
              <w:t>Número de participantes que solicitaron el reconocimiento o la evaluación de sus cualificaciones o capacidades adquiridas en un tercer país</w:t>
            </w:r>
          </w:p>
        </w:tc>
      </w:tr>
      <w:tr w:rsidR="001256A5" w:rsidRPr="000A250C" w14:paraId="2C86BBAA" w14:textId="77777777" w:rsidTr="008B0FA8">
        <w:tc>
          <w:tcPr>
            <w:tcW w:w="71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63181589" w14:textId="465FD92A" w:rsidR="001256A5" w:rsidRPr="000016AF" w:rsidRDefault="001256A5" w:rsidP="001256A5">
            <w:pPr>
              <w:spacing w:before="60" w:after="60"/>
              <w:rPr>
                <w:rFonts w:cs="Arial"/>
                <w:lang w:val="es-ES"/>
              </w:rPr>
            </w:pPr>
            <w:r w:rsidRPr="000016AF">
              <w:rPr>
                <w:lang w:val="es-ES"/>
              </w:rPr>
              <w:t>R.2.11</w:t>
            </w:r>
          </w:p>
        </w:tc>
        <w:tc>
          <w:tcPr>
            <w:tcW w:w="4285" w:type="pct"/>
            <w:tcBorders>
              <w:top w:val="single" w:sz="4" w:space="0" w:color="000000"/>
              <w:left w:val="single" w:sz="4" w:space="0" w:color="000000"/>
              <w:bottom w:val="single" w:sz="4" w:space="0" w:color="000000"/>
              <w:right w:val="single" w:sz="4" w:space="0" w:color="000000"/>
            </w:tcBorders>
            <w:tcMar>
              <w:top w:w="0" w:type="dxa"/>
              <w:left w:w="60" w:type="dxa"/>
              <w:bottom w:w="60" w:type="dxa"/>
              <w:right w:w="60" w:type="dxa"/>
            </w:tcMar>
            <w:vAlign w:val="center"/>
          </w:tcPr>
          <w:p w14:paraId="2DFF0C47" w14:textId="661AF18E" w:rsidR="001256A5" w:rsidRPr="000016AF" w:rsidRDefault="001256A5" w:rsidP="001256A5">
            <w:pPr>
              <w:spacing w:before="60" w:after="60"/>
              <w:rPr>
                <w:rFonts w:cs="Arial"/>
                <w:lang w:val="es-ES"/>
              </w:rPr>
            </w:pPr>
            <w:r w:rsidRPr="000016AF">
              <w:rPr>
                <w:lang w:val="es-ES"/>
              </w:rPr>
              <w:t>Número de participantes que solicitaron el estatuto de residente de larga duración</w:t>
            </w:r>
          </w:p>
        </w:tc>
      </w:tr>
    </w:tbl>
    <w:p w14:paraId="6B12350D" w14:textId="77777777" w:rsidR="00EA7D38" w:rsidRPr="000016AF" w:rsidRDefault="00EA7D38" w:rsidP="008B0FA8">
      <w:pPr>
        <w:rPr>
          <w:rFonts w:cs="Arial"/>
          <w:lang w:val="es-ES"/>
        </w:rPr>
      </w:pPr>
    </w:p>
    <w:p w14:paraId="601EBAA8" w14:textId="2BDFEF69" w:rsidR="008B0FA8" w:rsidRPr="000016AF" w:rsidRDefault="008B0FA8" w:rsidP="008B0FA8">
      <w:pPr>
        <w:rPr>
          <w:rFonts w:cs="Arial"/>
          <w:lang w:val="es-ES"/>
        </w:rPr>
      </w:pPr>
      <w:r w:rsidRPr="000016AF">
        <w:rPr>
          <w:rFonts w:cs="Arial"/>
          <w:lang w:val="es-ES"/>
        </w:rPr>
        <w:t>A continuación, se ofrece información y notas sobre los indicadores</w:t>
      </w:r>
      <w:r w:rsidR="0059338C" w:rsidRPr="000016AF">
        <w:rPr>
          <w:rFonts w:cs="Arial"/>
          <w:lang w:val="es-ES"/>
        </w:rPr>
        <w:t xml:space="preserve"> del Objetivo Específico 2</w:t>
      </w:r>
      <w:r w:rsidRPr="000016AF">
        <w:rPr>
          <w:rFonts w:cs="Arial"/>
          <w:lang w:val="es-ES"/>
        </w:rPr>
        <w:t>:</w:t>
      </w:r>
    </w:p>
    <w:p w14:paraId="15EBA65C" w14:textId="77777777" w:rsidR="008B0FA8" w:rsidRPr="000016AF" w:rsidRDefault="008B0FA8" w:rsidP="008B0FA8">
      <w:pPr>
        <w:rPr>
          <w:rFonts w:cs="Arial"/>
          <w:lang w:val="es-ES"/>
        </w:rPr>
      </w:pPr>
    </w:p>
    <w:p w14:paraId="0C59DD69" w14:textId="77777777" w:rsidR="008B0FA8" w:rsidRPr="000016AF" w:rsidRDefault="008B0FA8" w:rsidP="008B0FA8">
      <w:pPr>
        <w:rPr>
          <w:rFonts w:cs="Arial"/>
          <w:i/>
          <w:lang w:val="es-ES"/>
        </w:rPr>
      </w:pPr>
      <w:r w:rsidRPr="000016AF">
        <w:rPr>
          <w:rFonts w:cs="Arial"/>
          <w:i/>
          <w:lang w:val="es-ES"/>
        </w:rPr>
        <w:t>Indicadores de realización</w:t>
      </w:r>
    </w:p>
    <w:tbl>
      <w:tblPr>
        <w:tblStyle w:val="Tablaconcuadrcula"/>
        <w:tblW w:w="0" w:type="auto"/>
        <w:tblLook w:val="04A0" w:firstRow="1" w:lastRow="0" w:firstColumn="1" w:lastColumn="0" w:noHBand="0" w:noVBand="1"/>
      </w:tblPr>
      <w:tblGrid>
        <w:gridCol w:w="9062"/>
      </w:tblGrid>
      <w:tr w:rsidR="008B0FA8" w:rsidRPr="000A250C" w14:paraId="18AAD475" w14:textId="77777777" w:rsidTr="008B0FA8">
        <w:tc>
          <w:tcPr>
            <w:tcW w:w="9062" w:type="dxa"/>
            <w:shd w:val="clear" w:color="auto" w:fill="D9E1F2"/>
            <w:vAlign w:val="center"/>
          </w:tcPr>
          <w:p w14:paraId="6E8FAB48" w14:textId="0DC213E3" w:rsidR="008B0FA8" w:rsidRPr="000016AF" w:rsidRDefault="00423F3E" w:rsidP="008B0FA8">
            <w:pPr>
              <w:spacing w:before="60" w:after="60"/>
              <w:rPr>
                <w:rFonts w:cs="Arial"/>
                <w:b/>
                <w:lang w:val="es-ES"/>
              </w:rPr>
            </w:pPr>
            <w:r w:rsidRPr="000016AF">
              <w:rPr>
                <w:b/>
                <w:lang w:val="es-ES"/>
              </w:rPr>
              <w:t xml:space="preserve">O.2.1 </w:t>
            </w:r>
            <w:r w:rsidR="00174183" w:rsidRPr="000016AF">
              <w:rPr>
                <w:b/>
                <w:lang w:val="es-ES"/>
              </w:rPr>
              <w:t>Número de participantes en las medidas previas a la salida</w:t>
            </w:r>
          </w:p>
        </w:tc>
      </w:tr>
      <w:tr w:rsidR="00423F3E" w:rsidRPr="000A250C" w14:paraId="4724EF25" w14:textId="77777777" w:rsidTr="008B0FA8">
        <w:tc>
          <w:tcPr>
            <w:tcW w:w="9062" w:type="dxa"/>
            <w:shd w:val="clear" w:color="auto" w:fill="auto"/>
            <w:vAlign w:val="center"/>
          </w:tcPr>
          <w:p w14:paraId="61E5C78A" w14:textId="7EC5491E" w:rsidR="00423F3E" w:rsidRPr="000016AF" w:rsidRDefault="00D50E1F" w:rsidP="00423F3E">
            <w:pPr>
              <w:spacing w:before="60" w:after="60"/>
              <w:rPr>
                <w:rFonts w:cs="Arial"/>
                <w:lang w:val="es-ES"/>
              </w:rPr>
            </w:pPr>
            <w:r w:rsidRPr="000016AF">
              <w:rPr>
                <w:rFonts w:cs="Arial"/>
                <w:lang w:val="es-ES"/>
              </w:rPr>
              <w:t>A efectos de este indicador, un participante es un nacional de un tercer país.</w:t>
            </w:r>
          </w:p>
        </w:tc>
      </w:tr>
      <w:tr w:rsidR="00423F3E" w:rsidRPr="000A250C" w14:paraId="1DB28E45" w14:textId="77777777" w:rsidTr="008B0FA8">
        <w:tc>
          <w:tcPr>
            <w:tcW w:w="9062" w:type="dxa"/>
            <w:shd w:val="clear" w:color="auto" w:fill="D9E1F2"/>
            <w:vAlign w:val="center"/>
          </w:tcPr>
          <w:p w14:paraId="6EF73B80" w14:textId="1C129E86" w:rsidR="00423F3E" w:rsidRPr="000016AF" w:rsidRDefault="00423F3E" w:rsidP="00423F3E">
            <w:pPr>
              <w:spacing w:before="60" w:after="60"/>
              <w:rPr>
                <w:rFonts w:cs="Arial"/>
                <w:b/>
                <w:lang w:val="es-ES"/>
              </w:rPr>
            </w:pPr>
            <w:r w:rsidRPr="000016AF">
              <w:rPr>
                <w:b/>
                <w:lang w:val="es-ES"/>
              </w:rPr>
              <w:t>O.2.2</w:t>
            </w:r>
            <w:r w:rsidR="0046229B" w:rsidRPr="000016AF">
              <w:rPr>
                <w:b/>
                <w:lang w:val="es-ES"/>
              </w:rPr>
              <w:t xml:space="preserve"> Número de autoridades locales y regionales a las que se prestó apoyo para aplicar medidas de integración</w:t>
            </w:r>
          </w:p>
        </w:tc>
      </w:tr>
      <w:tr w:rsidR="00423F3E" w:rsidRPr="000A250C" w14:paraId="2818D03D" w14:textId="77777777" w:rsidTr="008B0FA8">
        <w:tc>
          <w:tcPr>
            <w:tcW w:w="9062" w:type="dxa"/>
            <w:shd w:val="clear" w:color="auto" w:fill="auto"/>
            <w:vAlign w:val="center"/>
          </w:tcPr>
          <w:p w14:paraId="153D64B4" w14:textId="21B01CEA" w:rsidR="003113D0" w:rsidRPr="000016AF" w:rsidRDefault="003113D0" w:rsidP="003113D0">
            <w:pPr>
              <w:spacing w:before="60" w:after="60"/>
              <w:rPr>
                <w:rFonts w:cs="Arial"/>
                <w:lang w:val="es-ES"/>
              </w:rPr>
            </w:pPr>
            <w:r w:rsidRPr="000016AF">
              <w:rPr>
                <w:rFonts w:cs="Arial"/>
                <w:lang w:val="es-ES"/>
              </w:rPr>
              <w:t xml:space="preserve">A efectos de este indicador, se entiende por medidas de integración las medidas adaptadas a las necesidades de los nacionales de terceros países que se aplican generalmente en las primeras fases de la integración, y las acciones horizontales de apoyo a las capacidades de los Estados miembros en el ámbito de la integración, incluso en los ámbitos prioritarios definidos en el Plan de Acción sobre Integración e Inclusión 2021-2027. </w:t>
            </w:r>
          </w:p>
          <w:p w14:paraId="7C51FDAB" w14:textId="77777777" w:rsidR="0059338C" w:rsidRPr="000016AF" w:rsidRDefault="0059338C" w:rsidP="003113D0">
            <w:pPr>
              <w:spacing w:before="60" w:after="60"/>
              <w:rPr>
                <w:rFonts w:cs="Arial"/>
                <w:lang w:val="es-ES"/>
              </w:rPr>
            </w:pPr>
          </w:p>
          <w:p w14:paraId="6F4D1984" w14:textId="77777777" w:rsidR="003113D0" w:rsidRPr="000016AF" w:rsidRDefault="003113D0" w:rsidP="003113D0">
            <w:pPr>
              <w:spacing w:before="60" w:after="60"/>
              <w:rPr>
                <w:rFonts w:cs="Arial"/>
                <w:lang w:val="es-ES"/>
              </w:rPr>
            </w:pPr>
            <w:r w:rsidRPr="000016AF">
              <w:rPr>
                <w:rFonts w:cs="Arial"/>
                <w:lang w:val="es-ES"/>
              </w:rPr>
              <w:t xml:space="preserve">El apoyo debe tener como objetivo crear la capacidad de los Estados miembros para desarrollar estrategias de integración, reforzar el intercambio y la cooperación y promover el contacto, el diálogo constructivo y la aceptación entre los nacionales de terceros países y la sociedad receptora.  </w:t>
            </w:r>
          </w:p>
          <w:p w14:paraId="7BD8CBC5" w14:textId="77777777" w:rsidR="003113D0" w:rsidRPr="000016AF" w:rsidRDefault="003113D0" w:rsidP="003113D0">
            <w:pPr>
              <w:spacing w:before="60" w:after="60"/>
              <w:rPr>
                <w:rFonts w:cs="Arial"/>
                <w:lang w:val="es-ES"/>
              </w:rPr>
            </w:pPr>
          </w:p>
          <w:p w14:paraId="7625ED98" w14:textId="470E3748" w:rsidR="00423F3E" w:rsidRPr="000016AF" w:rsidRDefault="003113D0" w:rsidP="003113D0">
            <w:pPr>
              <w:spacing w:before="60" w:after="60"/>
              <w:rPr>
                <w:rFonts w:cs="Arial"/>
                <w:b/>
                <w:lang w:val="es-ES"/>
              </w:rPr>
            </w:pPr>
            <w:r w:rsidRPr="000016AF">
              <w:rPr>
                <w:rFonts w:cs="Arial"/>
                <w:lang w:val="es-ES"/>
              </w:rPr>
              <w:t>Corresponde al Estado miembro determinar el momento de registrar y notificar a la autoridad en el marco de este indicador, garantizando al mismo tiempo que el apoyo a la misma autoridad se notifique solo una vez dentro de un proyecto.</w:t>
            </w:r>
          </w:p>
        </w:tc>
      </w:tr>
      <w:tr w:rsidR="00423F3E" w:rsidRPr="000A250C" w14:paraId="303A0529" w14:textId="77777777" w:rsidTr="008B0FA8">
        <w:tc>
          <w:tcPr>
            <w:tcW w:w="9062" w:type="dxa"/>
            <w:shd w:val="clear" w:color="auto" w:fill="D9E1F2"/>
            <w:vAlign w:val="center"/>
          </w:tcPr>
          <w:p w14:paraId="5AF97CEA" w14:textId="0491E354" w:rsidR="00423F3E" w:rsidRPr="000016AF" w:rsidRDefault="00423F3E" w:rsidP="00423F3E">
            <w:pPr>
              <w:spacing w:before="60" w:after="60"/>
              <w:rPr>
                <w:rFonts w:cs="Arial"/>
                <w:b/>
                <w:lang w:val="es-ES"/>
              </w:rPr>
            </w:pPr>
            <w:r w:rsidRPr="000016AF">
              <w:rPr>
                <w:b/>
                <w:lang w:val="es-ES"/>
              </w:rPr>
              <w:t>O.2.3</w:t>
            </w:r>
            <w:r w:rsidR="0046229B" w:rsidRPr="000016AF">
              <w:rPr>
                <w:b/>
                <w:lang w:val="es-ES"/>
              </w:rPr>
              <w:t xml:space="preserve"> </w:t>
            </w:r>
            <w:r w:rsidR="0046229B" w:rsidRPr="000016AF">
              <w:rPr>
                <w:rFonts w:cs="Arial"/>
                <w:b/>
                <w:lang w:val="es-ES"/>
              </w:rPr>
              <w:t>Número de participantes a los que se ha prestado apoyo</w:t>
            </w:r>
          </w:p>
        </w:tc>
      </w:tr>
      <w:tr w:rsidR="00423F3E" w:rsidRPr="000A250C" w14:paraId="2E05935F" w14:textId="77777777" w:rsidTr="008B0FA8">
        <w:tc>
          <w:tcPr>
            <w:tcW w:w="9062" w:type="dxa"/>
            <w:shd w:val="clear" w:color="auto" w:fill="auto"/>
            <w:vAlign w:val="center"/>
          </w:tcPr>
          <w:p w14:paraId="3CE4BBCE" w14:textId="4B7A9E82" w:rsidR="00423F3E" w:rsidRPr="000016AF" w:rsidRDefault="003113D0" w:rsidP="003113D0">
            <w:pPr>
              <w:spacing w:before="60" w:after="60"/>
              <w:rPr>
                <w:rFonts w:cs="Arial"/>
                <w:b/>
                <w:lang w:val="es-ES"/>
              </w:rPr>
            </w:pPr>
            <w:r w:rsidRPr="000016AF">
              <w:rPr>
                <w:rFonts w:cs="Arial"/>
                <w:lang w:val="es-ES"/>
              </w:rPr>
              <w:t xml:space="preserve">Todos los participantes reportados bajo uno de los subindicadores deben ser reportados también bajo este indicador principal. </w:t>
            </w:r>
          </w:p>
        </w:tc>
      </w:tr>
      <w:tr w:rsidR="0046229B" w:rsidRPr="000A250C" w14:paraId="6398D456" w14:textId="77777777" w:rsidTr="008B0FA8">
        <w:tc>
          <w:tcPr>
            <w:tcW w:w="9062" w:type="dxa"/>
            <w:shd w:val="clear" w:color="auto" w:fill="D9E1F2"/>
            <w:vAlign w:val="center"/>
          </w:tcPr>
          <w:p w14:paraId="26F36C92" w14:textId="721C69B4" w:rsidR="0046229B" w:rsidRPr="000016AF" w:rsidRDefault="0046229B" w:rsidP="0046229B">
            <w:pPr>
              <w:spacing w:before="60" w:after="60"/>
              <w:rPr>
                <w:rFonts w:cs="Arial"/>
                <w:b/>
                <w:lang w:val="es-ES"/>
              </w:rPr>
            </w:pPr>
            <w:r w:rsidRPr="000016AF">
              <w:rPr>
                <w:b/>
                <w:lang w:val="es-ES"/>
              </w:rPr>
              <w:t>O.2.3.1 d</w:t>
            </w:r>
            <w:r w:rsidRPr="000016AF">
              <w:rPr>
                <w:rFonts w:cs="Arial"/>
                <w:b/>
                <w:lang w:val="es-ES"/>
              </w:rPr>
              <w:t>e los cuales: número de participantes en un curso de idiomas</w:t>
            </w:r>
          </w:p>
        </w:tc>
      </w:tr>
      <w:tr w:rsidR="0046229B" w:rsidRPr="000A250C" w14:paraId="60106885" w14:textId="77777777" w:rsidTr="008B0FA8">
        <w:tc>
          <w:tcPr>
            <w:tcW w:w="9062" w:type="dxa"/>
            <w:shd w:val="clear" w:color="auto" w:fill="auto"/>
            <w:vAlign w:val="center"/>
          </w:tcPr>
          <w:p w14:paraId="7CA85EDD" w14:textId="1258B187" w:rsidR="003113D0" w:rsidRPr="000016AF" w:rsidRDefault="003113D0" w:rsidP="003113D0">
            <w:pPr>
              <w:spacing w:before="60" w:after="60"/>
              <w:rPr>
                <w:rFonts w:cs="Arial"/>
                <w:lang w:val="es-ES"/>
              </w:rPr>
            </w:pPr>
            <w:r w:rsidRPr="000016AF">
              <w:rPr>
                <w:rFonts w:cs="Arial"/>
                <w:lang w:val="es-ES"/>
              </w:rPr>
              <w:t xml:space="preserve">A efectos de este indicador, un participante es un nacional de un tercer país. </w:t>
            </w:r>
          </w:p>
          <w:p w14:paraId="6F9F4C86" w14:textId="77777777" w:rsidR="0059338C" w:rsidRPr="000016AF" w:rsidRDefault="0059338C" w:rsidP="003113D0">
            <w:pPr>
              <w:spacing w:before="60" w:after="60"/>
              <w:rPr>
                <w:rFonts w:cs="Arial"/>
                <w:lang w:val="es-ES"/>
              </w:rPr>
            </w:pPr>
          </w:p>
          <w:p w14:paraId="68EC2803" w14:textId="398252AD" w:rsidR="003113D0" w:rsidRPr="000016AF" w:rsidRDefault="003113D0" w:rsidP="003113D0">
            <w:pPr>
              <w:spacing w:before="60" w:after="60"/>
              <w:rPr>
                <w:rFonts w:cs="Arial"/>
                <w:lang w:val="es-ES"/>
              </w:rPr>
            </w:pPr>
            <w:r w:rsidRPr="000016AF">
              <w:rPr>
                <w:rFonts w:cs="Arial"/>
                <w:lang w:val="es-ES"/>
              </w:rPr>
              <w:t xml:space="preserve">Como se trata de un subindicador del indicador "Número de participantes a los que se ha prestado apoyo ", la misma persona debe ser </w:t>
            </w:r>
            <w:r w:rsidR="00FA7688">
              <w:rPr>
                <w:rFonts w:cs="Arial"/>
                <w:lang w:val="es-ES"/>
              </w:rPr>
              <w:t>contabilizada</w:t>
            </w:r>
            <w:r w:rsidRPr="000016AF">
              <w:rPr>
                <w:rFonts w:cs="Arial"/>
                <w:lang w:val="es-ES"/>
              </w:rPr>
              <w:t xml:space="preserve"> también en </w:t>
            </w:r>
            <w:r w:rsidR="0005279B">
              <w:rPr>
                <w:rFonts w:cs="Arial"/>
                <w:lang w:val="es-ES"/>
              </w:rPr>
              <w:t>el indicador principal.</w:t>
            </w:r>
          </w:p>
          <w:p w14:paraId="19A2B724" w14:textId="77777777" w:rsidR="0059338C" w:rsidRPr="000016AF" w:rsidRDefault="0059338C" w:rsidP="003113D0">
            <w:pPr>
              <w:spacing w:before="60" w:after="60"/>
              <w:rPr>
                <w:rFonts w:cs="Arial"/>
                <w:lang w:val="es-ES"/>
              </w:rPr>
            </w:pPr>
          </w:p>
          <w:p w14:paraId="7944D0EF" w14:textId="41F9CA17" w:rsidR="0046229B" w:rsidRPr="000016AF" w:rsidRDefault="003113D0" w:rsidP="003113D0">
            <w:pPr>
              <w:spacing w:before="60" w:after="60"/>
              <w:rPr>
                <w:rFonts w:cs="Arial"/>
                <w:b/>
                <w:lang w:val="es-ES"/>
              </w:rPr>
            </w:pPr>
            <w:r w:rsidRPr="000016AF">
              <w:rPr>
                <w:rFonts w:cs="Arial"/>
                <w:lang w:val="es-ES"/>
              </w:rPr>
              <w:lastRenderedPageBreak/>
              <w:t>Los datos reportados para este indicador para cada categoría de género y edad no pueden exceder los datos reportados bajo el indicador principal</w:t>
            </w:r>
            <w:r w:rsidR="0005279B">
              <w:rPr>
                <w:rFonts w:cs="Arial"/>
                <w:lang w:val="es-ES"/>
              </w:rPr>
              <w:t>,</w:t>
            </w:r>
            <w:r w:rsidRPr="000016AF">
              <w:rPr>
                <w:rFonts w:cs="Arial"/>
                <w:lang w:val="es-ES"/>
              </w:rPr>
              <w:t xml:space="preserve"> para agregar un control de validación en el SFC.</w:t>
            </w:r>
          </w:p>
        </w:tc>
      </w:tr>
      <w:tr w:rsidR="0046229B" w:rsidRPr="000A250C" w14:paraId="7510234E" w14:textId="77777777" w:rsidTr="008B0FA8">
        <w:tc>
          <w:tcPr>
            <w:tcW w:w="9062" w:type="dxa"/>
            <w:shd w:val="clear" w:color="auto" w:fill="D9E1F2"/>
            <w:vAlign w:val="center"/>
          </w:tcPr>
          <w:p w14:paraId="70868E5B" w14:textId="6616189B" w:rsidR="0046229B" w:rsidRPr="000016AF" w:rsidRDefault="0046229B" w:rsidP="0046229B">
            <w:pPr>
              <w:spacing w:before="60" w:after="60"/>
              <w:rPr>
                <w:rFonts w:cs="Arial"/>
                <w:b/>
                <w:lang w:val="es-ES"/>
              </w:rPr>
            </w:pPr>
            <w:r w:rsidRPr="000016AF">
              <w:rPr>
                <w:b/>
                <w:lang w:val="es-ES"/>
              </w:rPr>
              <w:lastRenderedPageBreak/>
              <w:t>O.2.3.2 de los cuales: número de participantes en un curso de orientación cívica</w:t>
            </w:r>
          </w:p>
        </w:tc>
      </w:tr>
      <w:tr w:rsidR="00C91DE6" w:rsidRPr="000A250C" w14:paraId="2A458E94" w14:textId="77777777" w:rsidTr="008B0FA8">
        <w:tc>
          <w:tcPr>
            <w:tcW w:w="9062" w:type="dxa"/>
            <w:shd w:val="clear" w:color="auto" w:fill="auto"/>
            <w:vAlign w:val="center"/>
          </w:tcPr>
          <w:p w14:paraId="5D1097B8" w14:textId="22164B19" w:rsidR="00C91DE6" w:rsidRPr="000016AF" w:rsidRDefault="00C91DE6" w:rsidP="00C91DE6">
            <w:pPr>
              <w:spacing w:before="60" w:after="60"/>
              <w:rPr>
                <w:rFonts w:cs="Arial"/>
                <w:lang w:val="es-ES"/>
              </w:rPr>
            </w:pPr>
            <w:r w:rsidRPr="000016AF">
              <w:rPr>
                <w:rFonts w:cs="Arial"/>
                <w:lang w:val="es-ES"/>
              </w:rPr>
              <w:t xml:space="preserve">A efectos de este indicador, un participante es un nacional de un tercer país. </w:t>
            </w:r>
          </w:p>
          <w:p w14:paraId="4C4BCBEF" w14:textId="77777777" w:rsidR="0059338C" w:rsidRPr="000016AF" w:rsidRDefault="0059338C" w:rsidP="00C91DE6">
            <w:pPr>
              <w:spacing w:before="60" w:after="60"/>
              <w:rPr>
                <w:rFonts w:cs="Arial"/>
                <w:lang w:val="es-ES"/>
              </w:rPr>
            </w:pPr>
          </w:p>
          <w:p w14:paraId="60995FA8" w14:textId="61278406" w:rsidR="00C91DE6" w:rsidRPr="000016AF" w:rsidRDefault="00C91DE6" w:rsidP="00C91DE6">
            <w:pPr>
              <w:spacing w:before="60" w:after="60"/>
              <w:rPr>
                <w:rFonts w:cs="Arial"/>
                <w:lang w:val="es-ES"/>
              </w:rPr>
            </w:pPr>
            <w:r w:rsidRPr="000016AF">
              <w:rPr>
                <w:rFonts w:cs="Arial"/>
                <w:lang w:val="es-ES"/>
              </w:rPr>
              <w:t xml:space="preserve">Como se trata de un subindicador del indicador "Número de participantes a los que se ha prestado apoyo ", la misma persona debe ser </w:t>
            </w:r>
            <w:r w:rsidR="0005279B">
              <w:rPr>
                <w:rFonts w:cs="Arial"/>
                <w:lang w:val="es-ES"/>
              </w:rPr>
              <w:t>contabilizada</w:t>
            </w:r>
            <w:r w:rsidRPr="000016AF">
              <w:rPr>
                <w:rFonts w:cs="Arial"/>
                <w:lang w:val="es-ES"/>
              </w:rPr>
              <w:t xml:space="preserve"> también en el indicador </w:t>
            </w:r>
            <w:r w:rsidR="0005279B">
              <w:rPr>
                <w:rFonts w:cs="Arial"/>
                <w:lang w:val="es-ES"/>
              </w:rPr>
              <w:t>principal.</w:t>
            </w:r>
          </w:p>
          <w:p w14:paraId="52765E8E" w14:textId="77777777" w:rsidR="0059338C" w:rsidRPr="000016AF" w:rsidRDefault="0059338C" w:rsidP="00C91DE6">
            <w:pPr>
              <w:spacing w:before="60" w:after="60"/>
              <w:rPr>
                <w:rFonts w:cs="Arial"/>
                <w:lang w:val="es-ES"/>
              </w:rPr>
            </w:pPr>
          </w:p>
          <w:p w14:paraId="38AB9A27" w14:textId="26B82E83" w:rsidR="00C91DE6" w:rsidRPr="000016AF" w:rsidRDefault="00C91DE6" w:rsidP="00C91DE6">
            <w:pPr>
              <w:spacing w:before="60" w:after="60"/>
              <w:rPr>
                <w:rFonts w:cs="Arial"/>
                <w:b/>
                <w:lang w:val="es-ES"/>
              </w:rPr>
            </w:pPr>
            <w:r w:rsidRPr="000016AF">
              <w:rPr>
                <w:rFonts w:cs="Arial"/>
                <w:lang w:val="es-ES"/>
              </w:rPr>
              <w:t>Los datos reportados para este indicador para cada categoría de género y edad no pueden exceder los datos reportados bajo el indicador principal</w:t>
            </w:r>
            <w:r w:rsidR="0005279B">
              <w:rPr>
                <w:rFonts w:cs="Arial"/>
                <w:lang w:val="es-ES"/>
              </w:rPr>
              <w:t xml:space="preserve">, </w:t>
            </w:r>
            <w:r w:rsidRPr="000016AF">
              <w:rPr>
                <w:rFonts w:cs="Arial"/>
                <w:lang w:val="es-ES"/>
              </w:rPr>
              <w:t>para agregar un control de validación en el SFC.</w:t>
            </w:r>
          </w:p>
        </w:tc>
      </w:tr>
      <w:tr w:rsidR="00C91DE6" w:rsidRPr="000A250C" w14:paraId="256B7FB7" w14:textId="77777777" w:rsidTr="008B0FA8">
        <w:tc>
          <w:tcPr>
            <w:tcW w:w="9062" w:type="dxa"/>
            <w:shd w:val="clear" w:color="auto" w:fill="D9E1F2"/>
            <w:vAlign w:val="center"/>
          </w:tcPr>
          <w:p w14:paraId="497B9763" w14:textId="7F199D47" w:rsidR="00C91DE6" w:rsidRPr="000016AF" w:rsidRDefault="00C91DE6" w:rsidP="00C91DE6">
            <w:pPr>
              <w:spacing w:before="60" w:after="60"/>
              <w:rPr>
                <w:rFonts w:cs="Arial"/>
                <w:b/>
                <w:lang w:val="es-ES"/>
              </w:rPr>
            </w:pPr>
            <w:r w:rsidRPr="000016AF">
              <w:rPr>
                <w:b/>
                <w:lang w:val="es-ES"/>
              </w:rPr>
              <w:t>O.2.3.3 de los cuales: número de participantes que recibieron orientación profesional personalizada</w:t>
            </w:r>
          </w:p>
        </w:tc>
      </w:tr>
      <w:tr w:rsidR="00C91DE6" w:rsidRPr="000A250C" w14:paraId="71BB66CC" w14:textId="77777777" w:rsidTr="008B0FA8">
        <w:tc>
          <w:tcPr>
            <w:tcW w:w="9062" w:type="dxa"/>
            <w:shd w:val="clear" w:color="auto" w:fill="auto"/>
            <w:vAlign w:val="center"/>
          </w:tcPr>
          <w:p w14:paraId="3430B9F7" w14:textId="77777777" w:rsidR="00C91DE6" w:rsidRPr="000016AF" w:rsidRDefault="00C91DE6" w:rsidP="00C91DE6">
            <w:pPr>
              <w:spacing w:before="60" w:after="60"/>
              <w:rPr>
                <w:rFonts w:cs="Arial"/>
                <w:lang w:val="es-ES"/>
              </w:rPr>
            </w:pPr>
            <w:r w:rsidRPr="000016AF">
              <w:rPr>
                <w:rFonts w:cs="Arial"/>
                <w:lang w:val="es-ES"/>
              </w:rPr>
              <w:t xml:space="preserve">A efectos de este indicador, un participante es un nacional de un tercer país. </w:t>
            </w:r>
          </w:p>
          <w:p w14:paraId="4C5B0EAC" w14:textId="7C00E4F9" w:rsidR="00C91DE6" w:rsidRPr="000016AF" w:rsidRDefault="00C91DE6" w:rsidP="00C91DE6">
            <w:pPr>
              <w:spacing w:before="60" w:after="60"/>
              <w:rPr>
                <w:rFonts w:cs="Arial"/>
                <w:lang w:val="es-ES"/>
              </w:rPr>
            </w:pPr>
            <w:r w:rsidRPr="000016AF">
              <w:rPr>
                <w:rFonts w:cs="Arial"/>
                <w:lang w:val="es-ES"/>
              </w:rPr>
              <w:t xml:space="preserve">Como se trata de un subindicador del indicador "Número de participantes a los que se ha prestado apoyo ", la misma persona debe ser </w:t>
            </w:r>
            <w:r w:rsidR="0005279B">
              <w:rPr>
                <w:rFonts w:cs="Arial"/>
                <w:lang w:val="es-ES"/>
              </w:rPr>
              <w:t>contabilizada</w:t>
            </w:r>
            <w:r w:rsidRPr="000016AF">
              <w:rPr>
                <w:rFonts w:cs="Arial"/>
                <w:lang w:val="es-ES"/>
              </w:rPr>
              <w:t xml:space="preserve"> también en el indicador </w:t>
            </w:r>
            <w:r w:rsidR="0005279B">
              <w:rPr>
                <w:rFonts w:cs="Arial"/>
                <w:lang w:val="es-ES"/>
              </w:rPr>
              <w:t>principal.</w:t>
            </w:r>
          </w:p>
          <w:p w14:paraId="04DC22AB" w14:textId="77777777" w:rsidR="0059338C" w:rsidRPr="000016AF" w:rsidRDefault="0059338C" w:rsidP="00C91DE6">
            <w:pPr>
              <w:spacing w:before="60" w:after="60"/>
              <w:rPr>
                <w:rFonts w:cs="Arial"/>
                <w:lang w:val="es-ES"/>
              </w:rPr>
            </w:pPr>
          </w:p>
          <w:p w14:paraId="280F65A6" w14:textId="3D74AC43" w:rsidR="00C91DE6" w:rsidRPr="000016AF" w:rsidRDefault="00C91DE6" w:rsidP="00C91DE6">
            <w:pPr>
              <w:spacing w:before="60" w:after="60"/>
              <w:rPr>
                <w:rFonts w:cs="Arial"/>
                <w:b/>
                <w:lang w:val="es-ES"/>
              </w:rPr>
            </w:pPr>
            <w:r w:rsidRPr="000016AF">
              <w:rPr>
                <w:rFonts w:cs="Arial"/>
                <w:lang w:val="es-ES"/>
              </w:rPr>
              <w:t>Los datos reportados para este indicador para cada categoría de género y edad no pueden exceder los datos reportados bajo el indicador principal</w:t>
            </w:r>
            <w:r w:rsidR="0005279B">
              <w:rPr>
                <w:rFonts w:cs="Arial"/>
                <w:lang w:val="es-ES"/>
              </w:rPr>
              <w:t>, p</w:t>
            </w:r>
            <w:r w:rsidRPr="000016AF">
              <w:rPr>
                <w:rFonts w:cs="Arial"/>
                <w:lang w:val="es-ES"/>
              </w:rPr>
              <w:t>ara agregar un control de validación en el SFC.</w:t>
            </w:r>
          </w:p>
        </w:tc>
      </w:tr>
      <w:tr w:rsidR="00C91DE6" w:rsidRPr="000A250C" w14:paraId="2DBD0045" w14:textId="77777777" w:rsidTr="008B0FA8">
        <w:tc>
          <w:tcPr>
            <w:tcW w:w="9062" w:type="dxa"/>
            <w:shd w:val="clear" w:color="auto" w:fill="D9E1F2"/>
            <w:vAlign w:val="center"/>
          </w:tcPr>
          <w:p w14:paraId="3D63839D" w14:textId="7D0075BD" w:rsidR="00C91DE6" w:rsidRPr="000016AF" w:rsidRDefault="00C91DE6" w:rsidP="00C91DE6">
            <w:pPr>
              <w:spacing w:before="60" w:after="60"/>
              <w:rPr>
                <w:rFonts w:cs="Arial"/>
                <w:b/>
                <w:lang w:val="es-ES"/>
              </w:rPr>
            </w:pPr>
            <w:r w:rsidRPr="000016AF">
              <w:rPr>
                <w:b/>
                <w:lang w:val="es-ES"/>
              </w:rPr>
              <w:t>O.2.4 Número de paquetes de información y campañas de sensibilización sobre las vías de migración legal hacia la Unión</w:t>
            </w:r>
          </w:p>
        </w:tc>
      </w:tr>
      <w:tr w:rsidR="00C91DE6" w:rsidRPr="000A250C" w14:paraId="51B405E6" w14:textId="77777777" w:rsidTr="008B0FA8">
        <w:tc>
          <w:tcPr>
            <w:tcW w:w="9062" w:type="dxa"/>
            <w:shd w:val="clear" w:color="auto" w:fill="auto"/>
            <w:vAlign w:val="center"/>
          </w:tcPr>
          <w:p w14:paraId="7F6A8C73" w14:textId="4FA9B472" w:rsidR="00C91DE6" w:rsidRPr="000016AF" w:rsidRDefault="00C91DE6" w:rsidP="00C91DE6">
            <w:pPr>
              <w:spacing w:before="60" w:after="60"/>
              <w:rPr>
                <w:rFonts w:cs="Arial"/>
                <w:lang w:val="es-ES"/>
              </w:rPr>
            </w:pPr>
            <w:r w:rsidRPr="000016AF">
              <w:rPr>
                <w:rFonts w:cs="Arial"/>
                <w:lang w:val="es-ES"/>
              </w:rPr>
              <w:t xml:space="preserve">A efectos de este indicador, se puede </w:t>
            </w:r>
            <w:r w:rsidR="0005279B">
              <w:rPr>
                <w:rFonts w:cs="Arial"/>
                <w:lang w:val="es-ES"/>
              </w:rPr>
              <w:t>contabilizar</w:t>
            </w:r>
            <w:r w:rsidRPr="000016AF">
              <w:rPr>
                <w:rFonts w:cs="Arial"/>
                <w:lang w:val="es-ES"/>
              </w:rPr>
              <w:t xml:space="preserve"> cualquier paquete de información o campaña de sensibilización que entre en el ámbito de este objetivo específico.  </w:t>
            </w:r>
          </w:p>
          <w:p w14:paraId="1B8829B0" w14:textId="42BD0898" w:rsidR="00C91DE6" w:rsidRPr="000016AF" w:rsidRDefault="006C390A" w:rsidP="00C91DE6">
            <w:pPr>
              <w:spacing w:before="60" w:after="60"/>
              <w:rPr>
                <w:rFonts w:cs="Arial"/>
                <w:b/>
                <w:lang w:val="es-ES"/>
              </w:rPr>
            </w:pPr>
            <w:r w:rsidRPr="001165AC">
              <w:rPr>
                <w:rFonts w:cs="Arial"/>
                <w:color w:val="000000" w:themeColor="text1"/>
                <w:lang w:val="es-ES"/>
              </w:rPr>
              <w:t>En este indicador se registrarán los paquetes de información/campañas en función de su fecha de lanzamiento. Aquellos paquetes que todavía no se hayan lanzado no se contabilizarán, aunque ya estén preparados. C</w:t>
            </w:r>
            <w:r w:rsidR="00C91DE6" w:rsidRPr="001165AC">
              <w:rPr>
                <w:rFonts w:cs="Arial"/>
                <w:color w:val="000000" w:themeColor="text1"/>
                <w:lang w:val="es-ES"/>
              </w:rPr>
              <w:t>ada paquete de información/campaña se c</w:t>
            </w:r>
            <w:r w:rsidRPr="001165AC">
              <w:rPr>
                <w:rFonts w:cs="Arial"/>
                <w:color w:val="000000" w:themeColor="text1"/>
                <w:lang w:val="es-ES"/>
              </w:rPr>
              <w:t>ontará</w:t>
            </w:r>
            <w:r w:rsidR="00C91DE6" w:rsidRPr="001165AC">
              <w:rPr>
                <w:rFonts w:cs="Arial"/>
                <w:color w:val="000000" w:themeColor="text1"/>
                <w:lang w:val="es-ES"/>
              </w:rPr>
              <w:t xml:space="preserve"> sólo una vez dentro de un proyecto.  </w:t>
            </w:r>
          </w:p>
        </w:tc>
      </w:tr>
      <w:tr w:rsidR="00C91DE6" w:rsidRPr="000A250C" w14:paraId="4D214E6B" w14:textId="77777777" w:rsidTr="008B0FA8">
        <w:tc>
          <w:tcPr>
            <w:tcW w:w="9062" w:type="dxa"/>
            <w:shd w:val="clear" w:color="auto" w:fill="D9E1F2"/>
            <w:vAlign w:val="center"/>
          </w:tcPr>
          <w:p w14:paraId="025334E8" w14:textId="4640EE51" w:rsidR="00C91DE6" w:rsidRPr="000016AF" w:rsidRDefault="00C91DE6" w:rsidP="00C91DE6">
            <w:pPr>
              <w:spacing w:before="60" w:after="60"/>
              <w:rPr>
                <w:rFonts w:cs="Arial"/>
                <w:b/>
                <w:lang w:val="es-ES"/>
              </w:rPr>
            </w:pPr>
            <w:r w:rsidRPr="000016AF">
              <w:rPr>
                <w:b/>
                <w:lang w:val="es-ES"/>
              </w:rPr>
              <w:t>O.2.5 Número de participantes que recibieron información o ayuda en su solicitud de reagrupación familiar</w:t>
            </w:r>
          </w:p>
        </w:tc>
      </w:tr>
      <w:tr w:rsidR="00C91DE6" w:rsidRPr="000A250C" w14:paraId="58CC4A98" w14:textId="77777777" w:rsidTr="008B0FA8">
        <w:tc>
          <w:tcPr>
            <w:tcW w:w="9062" w:type="dxa"/>
            <w:shd w:val="clear" w:color="auto" w:fill="auto"/>
            <w:vAlign w:val="center"/>
          </w:tcPr>
          <w:p w14:paraId="188C48A9" w14:textId="5607CD86" w:rsidR="00C91DE6" w:rsidRPr="000016AF" w:rsidRDefault="00C91DE6" w:rsidP="00C91DE6">
            <w:pPr>
              <w:spacing w:before="60" w:after="60"/>
              <w:rPr>
                <w:rFonts w:cs="Arial"/>
                <w:lang w:val="es-ES"/>
              </w:rPr>
            </w:pPr>
            <w:r w:rsidRPr="000016AF">
              <w:rPr>
                <w:rFonts w:cs="Arial"/>
                <w:lang w:val="es-ES"/>
              </w:rPr>
              <w:t xml:space="preserve">A efectos de este indicador, sólo se </w:t>
            </w:r>
            <w:r w:rsidR="0005279B">
              <w:rPr>
                <w:rFonts w:cs="Arial"/>
                <w:lang w:val="es-ES"/>
              </w:rPr>
              <w:t>contabilizan</w:t>
            </w:r>
            <w:r w:rsidRPr="000016AF">
              <w:rPr>
                <w:rFonts w:cs="Arial"/>
                <w:lang w:val="es-ES"/>
              </w:rPr>
              <w:t xml:space="preserve"> los participantes que recibieron información personalizada (</w:t>
            </w:r>
            <w:r w:rsidR="0005279B" w:rsidRPr="0005279B">
              <w:rPr>
                <w:rFonts w:cs="Arial"/>
                <w:lang w:val="es-ES"/>
              </w:rPr>
              <w:t>por ejemplo, no se incluye material impreso, como folletos o trípticos</w:t>
            </w:r>
            <w:r w:rsidRPr="000016AF">
              <w:rPr>
                <w:rFonts w:cs="Arial"/>
                <w:lang w:val="es-ES"/>
              </w:rPr>
              <w:t>).</w:t>
            </w:r>
          </w:p>
        </w:tc>
      </w:tr>
      <w:tr w:rsidR="00C91DE6" w:rsidRPr="000A250C" w14:paraId="01E60883" w14:textId="77777777" w:rsidTr="008B0FA8">
        <w:tc>
          <w:tcPr>
            <w:tcW w:w="9062" w:type="dxa"/>
            <w:shd w:val="clear" w:color="auto" w:fill="D9E1F2"/>
            <w:vAlign w:val="center"/>
          </w:tcPr>
          <w:p w14:paraId="305682D6" w14:textId="76B669C0" w:rsidR="00C91DE6" w:rsidRPr="000016AF" w:rsidRDefault="00C91DE6" w:rsidP="00C91DE6">
            <w:pPr>
              <w:spacing w:before="60" w:after="60"/>
              <w:rPr>
                <w:rFonts w:cs="Arial"/>
                <w:b/>
                <w:lang w:val="es-ES"/>
              </w:rPr>
            </w:pPr>
            <w:r w:rsidRPr="000016AF">
              <w:rPr>
                <w:b/>
                <w:lang w:val="es-ES"/>
              </w:rPr>
              <w:t>O.2.6 Número de participantes que se beneficiaron de los planes de movilidad</w:t>
            </w:r>
          </w:p>
        </w:tc>
      </w:tr>
      <w:tr w:rsidR="00C91DE6" w:rsidRPr="000A250C" w14:paraId="3323FD78" w14:textId="77777777" w:rsidTr="008B0FA8">
        <w:tc>
          <w:tcPr>
            <w:tcW w:w="9062" w:type="dxa"/>
            <w:shd w:val="clear" w:color="auto" w:fill="auto"/>
            <w:vAlign w:val="center"/>
          </w:tcPr>
          <w:p w14:paraId="232DE7D8" w14:textId="16072CBA" w:rsidR="00C91DE6" w:rsidRPr="000016AF" w:rsidRDefault="00C91DE6" w:rsidP="00C91DE6">
            <w:pPr>
              <w:rPr>
                <w:rFonts w:cs="Arial"/>
                <w:lang w:val="es-ES"/>
              </w:rPr>
            </w:pPr>
            <w:r w:rsidRPr="000016AF">
              <w:rPr>
                <w:rFonts w:cs="Arial"/>
                <w:lang w:val="es-ES"/>
              </w:rPr>
              <w:t xml:space="preserve">Los planes de movilidad son programas que ofrecen a las personas que residen en un tercer país la oportunidad de venir a la UE con fines de estudio, formación o trabajo. Incluyen programas de migración temporal y de larga duración, así como de migración circular. </w:t>
            </w:r>
          </w:p>
        </w:tc>
      </w:tr>
      <w:tr w:rsidR="00C91DE6" w:rsidRPr="000A250C" w14:paraId="549FB194" w14:textId="77777777" w:rsidTr="0046229B">
        <w:tc>
          <w:tcPr>
            <w:tcW w:w="9062" w:type="dxa"/>
            <w:shd w:val="clear" w:color="auto" w:fill="D9E1F2"/>
            <w:vAlign w:val="center"/>
          </w:tcPr>
          <w:p w14:paraId="68EFDA89" w14:textId="3D8050E7" w:rsidR="00C91DE6" w:rsidRPr="000016AF" w:rsidRDefault="00C91DE6" w:rsidP="00C91DE6">
            <w:pPr>
              <w:spacing w:before="60" w:after="60"/>
              <w:rPr>
                <w:b/>
                <w:lang w:val="es-ES"/>
              </w:rPr>
            </w:pPr>
            <w:r w:rsidRPr="000016AF">
              <w:rPr>
                <w:b/>
                <w:lang w:val="es-ES"/>
              </w:rPr>
              <w:lastRenderedPageBreak/>
              <w:t>O.2.7 Número de proyectos de integración en los que los entes locales y regionales son los beneficiarios</w:t>
            </w:r>
          </w:p>
        </w:tc>
      </w:tr>
      <w:tr w:rsidR="00C91DE6" w:rsidRPr="000A250C" w14:paraId="6EBB7467" w14:textId="77777777" w:rsidTr="0046229B">
        <w:tc>
          <w:tcPr>
            <w:tcW w:w="9062" w:type="dxa"/>
            <w:shd w:val="clear" w:color="auto" w:fill="auto"/>
            <w:vAlign w:val="center"/>
          </w:tcPr>
          <w:p w14:paraId="3AA1DD81" w14:textId="7FC521E2" w:rsidR="006C390A" w:rsidRPr="000016AF" w:rsidRDefault="006C390A" w:rsidP="00C91DE6">
            <w:pPr>
              <w:spacing w:before="60" w:after="60"/>
              <w:rPr>
                <w:lang w:val="es-ES"/>
              </w:rPr>
            </w:pPr>
            <w:r>
              <w:rPr>
                <w:lang w:val="es-ES"/>
              </w:rPr>
              <w:t>Bajo este indicador se incluirán todos aquellos proyectos que ya estén en ejecución en los que un ente local o regional sea uno de los beneficiarios.</w:t>
            </w:r>
          </w:p>
        </w:tc>
      </w:tr>
    </w:tbl>
    <w:p w14:paraId="054FB61F" w14:textId="77777777" w:rsidR="008B0FA8" w:rsidRPr="000016AF" w:rsidRDefault="008B0FA8" w:rsidP="008B0FA8">
      <w:pPr>
        <w:rPr>
          <w:rFonts w:cs="Arial"/>
          <w:i/>
          <w:lang w:val="es-ES"/>
        </w:rPr>
      </w:pPr>
      <w:r w:rsidRPr="000016AF">
        <w:rPr>
          <w:rFonts w:cs="Arial"/>
          <w:i/>
          <w:lang w:val="es-ES"/>
        </w:rPr>
        <w:t>Indicadores de resultados</w:t>
      </w:r>
    </w:p>
    <w:tbl>
      <w:tblPr>
        <w:tblStyle w:val="Tablaconcuadrcula"/>
        <w:tblW w:w="0" w:type="auto"/>
        <w:tblLook w:val="04A0" w:firstRow="1" w:lastRow="0" w:firstColumn="1" w:lastColumn="0" w:noHBand="0" w:noVBand="1"/>
      </w:tblPr>
      <w:tblGrid>
        <w:gridCol w:w="9062"/>
      </w:tblGrid>
      <w:tr w:rsidR="0046229B" w:rsidRPr="000A250C" w14:paraId="512111DA" w14:textId="77777777" w:rsidTr="008B0FA8">
        <w:tc>
          <w:tcPr>
            <w:tcW w:w="9062" w:type="dxa"/>
            <w:shd w:val="clear" w:color="auto" w:fill="D9E1F2"/>
            <w:vAlign w:val="center"/>
          </w:tcPr>
          <w:p w14:paraId="5E0A6DBF" w14:textId="0408337F" w:rsidR="0046229B" w:rsidRPr="000016AF" w:rsidRDefault="0046229B" w:rsidP="0046229B">
            <w:pPr>
              <w:spacing w:before="60" w:after="60"/>
              <w:rPr>
                <w:rFonts w:cs="Arial"/>
                <w:b/>
                <w:lang w:val="es-ES"/>
              </w:rPr>
            </w:pPr>
            <w:r w:rsidRPr="000016AF">
              <w:rPr>
                <w:b/>
                <w:lang w:val="es-ES"/>
              </w:rPr>
              <w:t>R.2.8 Número de participantes en cursos de idiomas que hayan mejorado su nivel de competencia en la lengua del país de acogida tras abandonar el curso de idiomas en al menos un nivel del Marco Común Europeo de Referencia para las Lenguas o el equivalente nacional</w:t>
            </w:r>
          </w:p>
        </w:tc>
      </w:tr>
      <w:tr w:rsidR="0046229B" w:rsidRPr="000A250C" w14:paraId="07269CF7" w14:textId="77777777" w:rsidTr="008B0FA8">
        <w:tc>
          <w:tcPr>
            <w:tcW w:w="9062" w:type="dxa"/>
            <w:shd w:val="clear" w:color="auto" w:fill="auto"/>
            <w:vAlign w:val="center"/>
          </w:tcPr>
          <w:p w14:paraId="732A3398" w14:textId="03EA68F7" w:rsidR="000A725C" w:rsidRDefault="000A725C" w:rsidP="00561151">
            <w:pPr>
              <w:spacing w:before="60" w:after="60"/>
              <w:rPr>
                <w:rFonts w:cs="Arial"/>
                <w:lang w:val="es-ES"/>
              </w:rPr>
            </w:pPr>
            <w:r w:rsidRPr="006C390A">
              <w:rPr>
                <w:rFonts w:cs="Arial"/>
                <w:i/>
                <w:lang w:val="es-ES"/>
              </w:rPr>
              <w:t>Este indicador de resultados se calcula sobre la población del indicador O.</w:t>
            </w:r>
            <w:r>
              <w:rPr>
                <w:rFonts w:cs="Arial"/>
                <w:i/>
                <w:lang w:val="es-ES"/>
              </w:rPr>
              <w:t>2</w:t>
            </w:r>
            <w:r w:rsidRPr="006C390A">
              <w:rPr>
                <w:rFonts w:cs="Arial"/>
                <w:i/>
                <w:lang w:val="es-ES"/>
              </w:rPr>
              <w:t>.</w:t>
            </w:r>
            <w:r>
              <w:rPr>
                <w:rFonts w:cs="Arial"/>
                <w:i/>
                <w:lang w:val="es-ES"/>
              </w:rPr>
              <w:t>3</w:t>
            </w:r>
            <w:r w:rsidRPr="006C390A">
              <w:rPr>
                <w:rFonts w:cs="Arial"/>
                <w:i/>
                <w:lang w:val="es-ES"/>
              </w:rPr>
              <w:t>.</w:t>
            </w:r>
            <w:r>
              <w:rPr>
                <w:rFonts w:cs="Arial"/>
                <w:i/>
                <w:lang w:val="es-ES"/>
              </w:rPr>
              <w:t>1.</w:t>
            </w:r>
            <w:r w:rsidRPr="006C390A">
              <w:rPr>
                <w:rFonts w:cs="Arial"/>
                <w:i/>
                <w:lang w:val="es-ES"/>
              </w:rPr>
              <w:t xml:space="preserve"> "</w:t>
            </w:r>
            <w:r w:rsidRPr="0073548D">
              <w:rPr>
                <w:rFonts w:cs="Arial"/>
                <w:i/>
                <w:lang w:val="es-ES"/>
              </w:rPr>
              <w:t>N</w:t>
            </w:r>
            <w:r w:rsidRPr="000A725C">
              <w:rPr>
                <w:rFonts w:cs="Arial"/>
                <w:i/>
                <w:lang w:val="es-ES"/>
              </w:rPr>
              <w:t>úmero de participantes en un curso de idiomas</w:t>
            </w:r>
            <w:r w:rsidRPr="006C390A">
              <w:rPr>
                <w:rFonts w:cs="Arial"/>
                <w:i/>
                <w:lang w:val="es-ES"/>
              </w:rPr>
              <w:t>", por lo que su valor no puede ser superior</w:t>
            </w:r>
            <w:r>
              <w:rPr>
                <w:rFonts w:cs="Arial"/>
                <w:i/>
                <w:lang w:val="es-ES"/>
              </w:rPr>
              <w:t xml:space="preserve"> al resultado del indicador O.2.3.1.</w:t>
            </w:r>
          </w:p>
          <w:p w14:paraId="7CB6AD63" w14:textId="2EA6BF16" w:rsidR="0046229B" w:rsidRPr="000016AF" w:rsidRDefault="00561151" w:rsidP="00561151">
            <w:pPr>
              <w:spacing w:before="60" w:after="60"/>
              <w:rPr>
                <w:rFonts w:cs="Arial"/>
                <w:lang w:val="es-ES"/>
              </w:rPr>
            </w:pPr>
            <w:r w:rsidRPr="000016AF">
              <w:rPr>
                <w:rFonts w:cs="Arial"/>
                <w:lang w:val="es-ES"/>
              </w:rPr>
              <w:t xml:space="preserve"> </w:t>
            </w:r>
          </w:p>
        </w:tc>
      </w:tr>
      <w:tr w:rsidR="0046229B" w:rsidRPr="000A250C" w14:paraId="02982F25" w14:textId="77777777" w:rsidTr="008B0FA8">
        <w:tc>
          <w:tcPr>
            <w:tcW w:w="9062" w:type="dxa"/>
            <w:shd w:val="clear" w:color="auto" w:fill="auto"/>
            <w:vAlign w:val="center"/>
          </w:tcPr>
          <w:p w14:paraId="0CC055A7" w14:textId="258493B7" w:rsidR="00561151" w:rsidRPr="000016AF" w:rsidRDefault="00561151" w:rsidP="00561151">
            <w:pPr>
              <w:spacing w:before="60" w:after="60"/>
              <w:rPr>
                <w:rFonts w:cs="Arial"/>
                <w:lang w:val="es-ES"/>
              </w:rPr>
            </w:pPr>
            <w:r w:rsidRPr="000016AF">
              <w:rPr>
                <w:rFonts w:cs="Arial"/>
                <w:lang w:val="es-ES"/>
              </w:rPr>
              <w:t xml:space="preserve">A efectos de este indicador, un participante es un nacional de un tercer país. También se puede </w:t>
            </w:r>
            <w:r w:rsidR="0005279B">
              <w:rPr>
                <w:rFonts w:cs="Arial"/>
                <w:lang w:val="es-ES"/>
              </w:rPr>
              <w:t xml:space="preserve">contabilizar </w:t>
            </w:r>
            <w:r w:rsidRPr="000016AF">
              <w:rPr>
                <w:rFonts w:cs="Arial"/>
                <w:lang w:val="es-ES"/>
              </w:rPr>
              <w:t xml:space="preserve">el resultado obtenido por un participante que no haya seguido el curso en su totalidad.  </w:t>
            </w:r>
          </w:p>
          <w:p w14:paraId="5D18EF54" w14:textId="77777777" w:rsidR="0059338C" w:rsidRPr="000016AF" w:rsidRDefault="0059338C" w:rsidP="00561151">
            <w:pPr>
              <w:spacing w:before="60" w:after="60"/>
              <w:rPr>
                <w:rFonts w:cs="Arial"/>
                <w:lang w:val="es-ES"/>
              </w:rPr>
            </w:pPr>
          </w:p>
          <w:p w14:paraId="49A2A9FB" w14:textId="77777777" w:rsidR="00561151" w:rsidRPr="000016AF" w:rsidRDefault="00561151" w:rsidP="00561151">
            <w:pPr>
              <w:spacing w:before="60" w:after="60"/>
              <w:rPr>
                <w:rFonts w:cs="Arial"/>
                <w:lang w:val="es-ES"/>
              </w:rPr>
            </w:pPr>
            <w:r w:rsidRPr="000016AF">
              <w:rPr>
                <w:rFonts w:cs="Arial"/>
                <w:lang w:val="es-ES"/>
              </w:rPr>
              <w:t xml:space="preserve">El nivel de competencia es un resultado formal, que se obtiene cuando un organismo competente (por ejemplo, un proveedor de cursos de idiomas) determina que una persona ha alcanzado los resultados de aprendizaje según un nivel determinado.  </w:t>
            </w:r>
          </w:p>
          <w:p w14:paraId="005FD283" w14:textId="77777777" w:rsidR="00561151" w:rsidRPr="000016AF" w:rsidRDefault="00561151" w:rsidP="00561151">
            <w:pPr>
              <w:spacing w:before="60" w:after="60"/>
              <w:rPr>
                <w:rFonts w:cs="Arial"/>
                <w:lang w:val="es-ES"/>
              </w:rPr>
            </w:pPr>
            <w:r w:rsidRPr="000016AF">
              <w:rPr>
                <w:rFonts w:cs="Arial"/>
                <w:lang w:val="es-ES"/>
              </w:rPr>
              <w:t>El Marco Común Europeo de Referencia para las Lenguas define seis niveles de competencia lingüística que van del A1 al C2.</w:t>
            </w:r>
          </w:p>
          <w:p w14:paraId="771B9446" w14:textId="77777777" w:rsidR="00561151" w:rsidRPr="000016AF" w:rsidRDefault="00561151" w:rsidP="00561151">
            <w:pPr>
              <w:spacing w:before="60" w:after="60"/>
              <w:rPr>
                <w:rFonts w:cs="Arial"/>
                <w:lang w:val="es-ES"/>
              </w:rPr>
            </w:pPr>
          </w:p>
          <w:p w14:paraId="78143378" w14:textId="582FF71E" w:rsidR="00561151" w:rsidRPr="000016AF" w:rsidRDefault="00561151" w:rsidP="00561151">
            <w:pPr>
              <w:spacing w:before="60" w:after="60"/>
              <w:rPr>
                <w:rFonts w:cs="Arial"/>
                <w:lang w:val="es-ES"/>
              </w:rPr>
            </w:pPr>
            <w:r w:rsidRPr="000016AF">
              <w:rPr>
                <w:rFonts w:cs="Arial"/>
                <w:lang w:val="es-ES"/>
              </w:rPr>
              <w:t xml:space="preserve">Inmediatamente después de que un participante haya recibido la formación, su resultado puede registrarse y notificarse en este indicador. </w:t>
            </w:r>
          </w:p>
          <w:p w14:paraId="44300E0F" w14:textId="55C0ABB4" w:rsidR="0046229B" w:rsidRPr="000016AF" w:rsidRDefault="00561151" w:rsidP="00561151">
            <w:pPr>
              <w:spacing w:before="60" w:after="60"/>
              <w:rPr>
                <w:rFonts w:cs="Arial"/>
                <w:lang w:val="es-ES"/>
              </w:rPr>
            </w:pPr>
            <w:r w:rsidRPr="000016AF">
              <w:rPr>
                <w:rFonts w:cs="Arial"/>
                <w:lang w:val="es-ES"/>
              </w:rPr>
              <w:t xml:space="preserve">Sólo se </w:t>
            </w:r>
            <w:r w:rsidR="0005279B">
              <w:rPr>
                <w:rFonts w:cs="Arial"/>
                <w:lang w:val="es-ES"/>
              </w:rPr>
              <w:t xml:space="preserve">contabiliza </w:t>
            </w:r>
            <w:r w:rsidRPr="000016AF">
              <w:rPr>
                <w:rFonts w:cs="Arial"/>
                <w:lang w:val="es-ES"/>
              </w:rPr>
              <w:t xml:space="preserve">un resultado por participante, incluso si un participante ha mejorado su competencia en más de un nivel en el mismo proyecto. Los intentos fallidos de mejorar el nivel de competencia no anulan la notificación del resultado positivo. Se considera que se ha obtenido un resultado positivo cuando el nivel de competencia inicial del participante ha mejorado al menos un nivel.  </w:t>
            </w:r>
          </w:p>
        </w:tc>
      </w:tr>
      <w:tr w:rsidR="0046229B" w:rsidRPr="000A250C" w14:paraId="1B56F47F" w14:textId="77777777" w:rsidTr="008B0FA8">
        <w:trPr>
          <w:trHeight w:val="1211"/>
        </w:trPr>
        <w:tc>
          <w:tcPr>
            <w:tcW w:w="9062" w:type="dxa"/>
            <w:shd w:val="clear" w:color="auto" w:fill="D9E1F2"/>
            <w:vAlign w:val="center"/>
          </w:tcPr>
          <w:p w14:paraId="235552D2" w14:textId="7482C648" w:rsidR="0046229B" w:rsidRPr="000016AF" w:rsidRDefault="0046229B" w:rsidP="0046229B">
            <w:pPr>
              <w:spacing w:before="60" w:after="60"/>
              <w:rPr>
                <w:rFonts w:cs="Arial"/>
                <w:b/>
                <w:lang w:val="es-ES"/>
              </w:rPr>
            </w:pPr>
            <w:r w:rsidRPr="000016AF">
              <w:rPr>
                <w:b/>
                <w:lang w:val="es-ES"/>
              </w:rPr>
              <w:t>R.2.9 Número de participantes que informan de que la actividad ha sido útil para su integración</w:t>
            </w:r>
          </w:p>
        </w:tc>
      </w:tr>
      <w:tr w:rsidR="0046229B" w:rsidRPr="000A250C" w14:paraId="628EA7EB" w14:textId="77777777" w:rsidTr="008B0FA8">
        <w:tc>
          <w:tcPr>
            <w:tcW w:w="9062" w:type="dxa"/>
            <w:shd w:val="clear" w:color="auto" w:fill="auto"/>
            <w:vAlign w:val="center"/>
          </w:tcPr>
          <w:p w14:paraId="0E5E552F" w14:textId="42F3C8AF" w:rsidR="000A725C" w:rsidRDefault="000A725C" w:rsidP="000A725C">
            <w:pPr>
              <w:spacing w:before="60" w:after="60"/>
              <w:rPr>
                <w:rFonts w:cs="Arial"/>
                <w:lang w:val="es-ES"/>
              </w:rPr>
            </w:pPr>
            <w:r w:rsidRPr="006C390A">
              <w:rPr>
                <w:rFonts w:cs="Arial"/>
                <w:i/>
                <w:lang w:val="es-ES"/>
              </w:rPr>
              <w:t>Este indicador de resultados se calcula sobre la población del indicador O.</w:t>
            </w:r>
            <w:r>
              <w:rPr>
                <w:rFonts w:cs="Arial"/>
                <w:i/>
                <w:lang w:val="es-ES"/>
              </w:rPr>
              <w:t>2</w:t>
            </w:r>
            <w:r w:rsidRPr="006C390A">
              <w:rPr>
                <w:rFonts w:cs="Arial"/>
                <w:i/>
                <w:lang w:val="es-ES"/>
              </w:rPr>
              <w:t>.</w:t>
            </w:r>
            <w:r>
              <w:rPr>
                <w:rFonts w:cs="Arial"/>
                <w:i/>
                <w:lang w:val="es-ES"/>
              </w:rPr>
              <w:t>3.</w:t>
            </w:r>
            <w:r w:rsidRPr="006C390A">
              <w:rPr>
                <w:rFonts w:cs="Arial"/>
                <w:i/>
                <w:lang w:val="es-ES"/>
              </w:rPr>
              <w:t xml:space="preserve"> "</w:t>
            </w:r>
            <w:r w:rsidRPr="0073548D">
              <w:rPr>
                <w:rFonts w:cs="Arial"/>
                <w:i/>
                <w:lang w:val="es-ES"/>
              </w:rPr>
              <w:t>N</w:t>
            </w:r>
            <w:r w:rsidRPr="000A725C">
              <w:rPr>
                <w:rFonts w:cs="Arial"/>
                <w:i/>
                <w:lang w:val="es-ES"/>
              </w:rPr>
              <w:t xml:space="preserve">úmero de participantes </w:t>
            </w:r>
            <w:r>
              <w:rPr>
                <w:rFonts w:cs="Arial"/>
                <w:i/>
                <w:lang w:val="es-ES"/>
              </w:rPr>
              <w:t>a los que se ha prestado apoyo</w:t>
            </w:r>
            <w:r w:rsidRPr="006C390A">
              <w:rPr>
                <w:rFonts w:cs="Arial"/>
                <w:i/>
                <w:lang w:val="es-ES"/>
              </w:rPr>
              <w:t>", por lo que su valor no puede ser superior</w:t>
            </w:r>
            <w:r>
              <w:rPr>
                <w:rFonts w:cs="Arial"/>
                <w:i/>
                <w:lang w:val="es-ES"/>
              </w:rPr>
              <w:t xml:space="preserve"> al resultado del indicador O.2.3.</w:t>
            </w:r>
          </w:p>
          <w:p w14:paraId="71EE6B13" w14:textId="73885E4B" w:rsidR="0046229B" w:rsidRPr="000016AF" w:rsidRDefault="0046229B" w:rsidP="0046229B">
            <w:pPr>
              <w:spacing w:before="60" w:after="60"/>
              <w:rPr>
                <w:rFonts w:cs="Arial"/>
                <w:lang w:val="es-ES"/>
              </w:rPr>
            </w:pPr>
          </w:p>
        </w:tc>
      </w:tr>
      <w:tr w:rsidR="0046229B" w:rsidRPr="000A250C" w14:paraId="72632F7A" w14:textId="77777777" w:rsidTr="008B0FA8">
        <w:tc>
          <w:tcPr>
            <w:tcW w:w="9062" w:type="dxa"/>
            <w:shd w:val="clear" w:color="auto" w:fill="auto"/>
            <w:vAlign w:val="center"/>
          </w:tcPr>
          <w:p w14:paraId="185EBE8E" w14:textId="4EE52DF0" w:rsidR="005002D3" w:rsidRPr="000016AF" w:rsidRDefault="005002D3" w:rsidP="005002D3">
            <w:pPr>
              <w:spacing w:before="60" w:after="60"/>
              <w:rPr>
                <w:rFonts w:cs="Arial"/>
                <w:lang w:val="es-ES"/>
              </w:rPr>
            </w:pPr>
            <w:r w:rsidRPr="000016AF">
              <w:rPr>
                <w:rFonts w:cs="Arial"/>
                <w:lang w:val="es-ES"/>
              </w:rPr>
              <w:t>A efectos de este indicador, se entiende por participante</w:t>
            </w:r>
            <w:r w:rsidR="0005279B">
              <w:rPr>
                <w:rFonts w:cs="Arial"/>
                <w:lang w:val="es-ES"/>
              </w:rPr>
              <w:t>s tan solo a</w:t>
            </w:r>
            <w:r w:rsidRPr="000016AF">
              <w:rPr>
                <w:rFonts w:cs="Arial"/>
                <w:lang w:val="es-ES"/>
              </w:rPr>
              <w:t xml:space="preserve"> nacional</w:t>
            </w:r>
            <w:r w:rsidR="0005279B">
              <w:rPr>
                <w:rFonts w:cs="Arial"/>
                <w:lang w:val="es-ES"/>
              </w:rPr>
              <w:t>es</w:t>
            </w:r>
            <w:r w:rsidRPr="000016AF">
              <w:rPr>
                <w:rFonts w:cs="Arial"/>
                <w:lang w:val="es-ES"/>
              </w:rPr>
              <w:t xml:space="preserve"> de tercer</w:t>
            </w:r>
            <w:r w:rsidR="0005279B">
              <w:rPr>
                <w:rFonts w:cs="Arial"/>
                <w:lang w:val="es-ES"/>
              </w:rPr>
              <w:t>os</w:t>
            </w:r>
            <w:r w:rsidRPr="000016AF">
              <w:rPr>
                <w:rFonts w:cs="Arial"/>
                <w:lang w:val="es-ES"/>
              </w:rPr>
              <w:t xml:space="preserve"> país</w:t>
            </w:r>
            <w:r w:rsidR="0005279B">
              <w:rPr>
                <w:rFonts w:cs="Arial"/>
                <w:lang w:val="es-ES"/>
              </w:rPr>
              <w:t>es</w:t>
            </w:r>
            <w:r w:rsidRPr="000016AF">
              <w:rPr>
                <w:rFonts w:cs="Arial"/>
                <w:lang w:val="es-ES"/>
              </w:rPr>
              <w:t xml:space="preserve">.   </w:t>
            </w:r>
          </w:p>
          <w:p w14:paraId="05C10509" w14:textId="7AE46E92" w:rsidR="005002D3" w:rsidRPr="000016AF" w:rsidRDefault="005002D3" w:rsidP="005002D3">
            <w:pPr>
              <w:spacing w:before="60" w:after="60"/>
              <w:rPr>
                <w:rFonts w:cs="Arial"/>
                <w:lang w:val="es-ES"/>
              </w:rPr>
            </w:pPr>
            <w:r w:rsidRPr="000016AF">
              <w:rPr>
                <w:rFonts w:cs="Arial"/>
                <w:lang w:val="es-ES"/>
              </w:rPr>
              <w:lastRenderedPageBreak/>
              <w:t xml:space="preserve">El indicador </w:t>
            </w:r>
            <w:r w:rsidR="00FD0B2E">
              <w:rPr>
                <w:rFonts w:cs="Arial"/>
                <w:lang w:val="es-ES"/>
              </w:rPr>
              <w:t>registr</w:t>
            </w:r>
            <w:r w:rsidRPr="000016AF">
              <w:rPr>
                <w:rFonts w:cs="Arial"/>
                <w:lang w:val="es-ES"/>
              </w:rPr>
              <w:t xml:space="preserve">a la situación de los participantes tal y como la percibe el nacional de un tercer país que ha recibido ayuda de un proyecto financiado por el FIA. Un participante debe indicar </w:t>
            </w:r>
            <w:r w:rsidR="0005279B">
              <w:rPr>
                <w:rFonts w:cs="Arial"/>
                <w:lang w:val="es-ES"/>
              </w:rPr>
              <w:t>que la actividad ha sido útil en al menos</w:t>
            </w:r>
            <w:r w:rsidRPr="000016AF">
              <w:rPr>
                <w:rFonts w:cs="Arial"/>
                <w:lang w:val="es-ES"/>
              </w:rPr>
              <w:t xml:space="preserve"> dos de los siguientes cinco ámbitos</w:t>
            </w:r>
            <w:r w:rsidR="0005279B">
              <w:rPr>
                <w:rFonts w:cs="Arial"/>
                <w:lang w:val="es-ES"/>
              </w:rPr>
              <w:t>:</w:t>
            </w:r>
            <w:r w:rsidRPr="000016AF">
              <w:rPr>
                <w:rFonts w:cs="Arial"/>
                <w:lang w:val="es-ES"/>
              </w:rPr>
              <w:t xml:space="preserve"> </w:t>
            </w:r>
          </w:p>
          <w:p w14:paraId="58EAEDA1" w14:textId="77777777" w:rsidR="005002D3" w:rsidRPr="000016AF" w:rsidRDefault="005002D3" w:rsidP="005002D3">
            <w:pPr>
              <w:spacing w:before="60" w:after="60"/>
              <w:rPr>
                <w:rFonts w:cs="Arial"/>
                <w:lang w:val="es-ES"/>
              </w:rPr>
            </w:pPr>
            <w:r w:rsidRPr="000016AF">
              <w:rPr>
                <w:rFonts w:cs="Arial"/>
                <w:lang w:val="es-ES"/>
              </w:rPr>
              <w:t xml:space="preserve">(1) integración en el mercado laboral, </w:t>
            </w:r>
          </w:p>
          <w:p w14:paraId="47AB1EA4" w14:textId="77777777" w:rsidR="005002D3" w:rsidRPr="000016AF" w:rsidRDefault="005002D3" w:rsidP="005002D3">
            <w:pPr>
              <w:spacing w:before="60" w:after="60"/>
              <w:rPr>
                <w:rFonts w:cs="Arial"/>
                <w:lang w:val="es-ES"/>
              </w:rPr>
            </w:pPr>
            <w:r w:rsidRPr="000016AF">
              <w:rPr>
                <w:rFonts w:cs="Arial"/>
                <w:lang w:val="es-ES"/>
              </w:rPr>
              <w:t xml:space="preserve">(2) adquisición de la lengua del país de acogida </w:t>
            </w:r>
          </w:p>
          <w:p w14:paraId="0AC35BAA" w14:textId="77777777" w:rsidR="005002D3" w:rsidRPr="000016AF" w:rsidRDefault="005002D3" w:rsidP="005002D3">
            <w:pPr>
              <w:spacing w:before="60" w:after="60"/>
              <w:rPr>
                <w:rFonts w:cs="Arial"/>
                <w:lang w:val="es-ES"/>
              </w:rPr>
            </w:pPr>
            <w:r w:rsidRPr="000016AF">
              <w:rPr>
                <w:rFonts w:cs="Arial"/>
                <w:lang w:val="es-ES"/>
              </w:rPr>
              <w:t xml:space="preserve">(3) relaciones con la población/comunidad local y participación activa en la sociedad </w:t>
            </w:r>
          </w:p>
          <w:p w14:paraId="03A03352" w14:textId="77777777" w:rsidR="005002D3" w:rsidRPr="000016AF" w:rsidRDefault="005002D3" w:rsidP="005002D3">
            <w:pPr>
              <w:spacing w:before="60" w:after="60"/>
              <w:rPr>
                <w:rFonts w:cs="Arial"/>
                <w:lang w:val="es-ES"/>
              </w:rPr>
            </w:pPr>
            <w:r w:rsidRPr="000016AF">
              <w:rPr>
                <w:rFonts w:cs="Arial"/>
                <w:lang w:val="es-ES"/>
              </w:rPr>
              <w:t xml:space="preserve">(4) vivienda, </w:t>
            </w:r>
          </w:p>
          <w:p w14:paraId="6DA5E65B" w14:textId="1DCA5482" w:rsidR="0059338C" w:rsidRPr="000016AF" w:rsidRDefault="005002D3" w:rsidP="005002D3">
            <w:pPr>
              <w:spacing w:before="60" w:after="60"/>
              <w:rPr>
                <w:rFonts w:cs="Arial"/>
                <w:lang w:val="es-ES"/>
              </w:rPr>
            </w:pPr>
            <w:r w:rsidRPr="000016AF">
              <w:rPr>
                <w:rFonts w:cs="Arial"/>
                <w:lang w:val="es-ES"/>
              </w:rPr>
              <w:t xml:space="preserve">(5) salud. </w:t>
            </w:r>
          </w:p>
          <w:p w14:paraId="5524EAFE" w14:textId="77777777" w:rsidR="005002D3" w:rsidRPr="000016AF" w:rsidRDefault="005002D3" w:rsidP="005002D3">
            <w:pPr>
              <w:spacing w:before="60" w:after="60"/>
              <w:rPr>
                <w:rFonts w:cs="Arial"/>
                <w:lang w:val="es-ES"/>
              </w:rPr>
            </w:pPr>
            <w:r w:rsidRPr="000016AF">
              <w:rPr>
                <w:rFonts w:cs="Arial"/>
                <w:lang w:val="es-ES"/>
              </w:rPr>
              <w:t xml:space="preserve">Aunque un participante haya recibido un tipo de ayuda, ésta puede influir en más de un ámbito. </w:t>
            </w:r>
          </w:p>
          <w:p w14:paraId="045800A6" w14:textId="77777777" w:rsidR="005002D3" w:rsidRPr="000016AF" w:rsidRDefault="005002D3" w:rsidP="005002D3">
            <w:pPr>
              <w:spacing w:before="60" w:after="60"/>
              <w:rPr>
                <w:rFonts w:cs="Arial"/>
                <w:lang w:val="es-ES"/>
              </w:rPr>
            </w:pPr>
            <w:r w:rsidRPr="000016AF">
              <w:rPr>
                <w:rFonts w:cs="Arial"/>
                <w:lang w:val="es-ES"/>
              </w:rPr>
              <w:t xml:space="preserve">Por ejemplo, la participación en un curso de idiomas puede tener un impacto en la integración en el mercado laboral y en las relaciones con la comunidad local; la orientación profesional personalizada puede tener un impacto en la adquisición de una vivienda y en las relaciones con la comunidad local.  </w:t>
            </w:r>
          </w:p>
          <w:p w14:paraId="3F1D82C6" w14:textId="77777777" w:rsidR="005002D3" w:rsidRPr="000016AF" w:rsidRDefault="005002D3" w:rsidP="005002D3">
            <w:pPr>
              <w:spacing w:before="60" w:after="60"/>
              <w:rPr>
                <w:rFonts w:cs="Arial"/>
                <w:lang w:val="es-ES"/>
              </w:rPr>
            </w:pPr>
            <w:r w:rsidRPr="000016AF">
              <w:rPr>
                <w:rFonts w:cs="Arial"/>
                <w:lang w:val="es-ES"/>
              </w:rPr>
              <w:t xml:space="preserve">Las relaciones con la población/comunidad local y la participación activa en la sociedad abarcan, por ejemplo, la participación en actividades locales/ONG, la participación de los padres en actividades (extraescolares), el trabajo voluntario en beneficio de la sociedad de acogida, la pertenencia a clubes deportivos, la participación de los niños en organizaciones juveniles. </w:t>
            </w:r>
          </w:p>
          <w:p w14:paraId="6A2EAEAF" w14:textId="77777777" w:rsidR="005002D3" w:rsidRPr="000016AF" w:rsidRDefault="005002D3" w:rsidP="005002D3">
            <w:pPr>
              <w:spacing w:before="60" w:after="60"/>
              <w:rPr>
                <w:rFonts w:cs="Arial"/>
                <w:lang w:val="es-ES"/>
              </w:rPr>
            </w:pPr>
            <w:r w:rsidRPr="000016AF">
              <w:rPr>
                <w:rFonts w:cs="Arial"/>
                <w:lang w:val="es-ES"/>
              </w:rPr>
              <w:t xml:space="preserve">Cualquier tipo de apoyo prestado al participante en el marco del indicador de resultado asociado puede contribuir a este resultado. </w:t>
            </w:r>
          </w:p>
          <w:p w14:paraId="1BF057BA" w14:textId="77777777" w:rsidR="005002D3" w:rsidRPr="000016AF" w:rsidRDefault="005002D3" w:rsidP="005002D3">
            <w:pPr>
              <w:spacing w:before="60" w:after="60"/>
              <w:rPr>
                <w:rFonts w:cs="Arial"/>
                <w:lang w:val="es-ES"/>
              </w:rPr>
            </w:pPr>
          </w:p>
          <w:p w14:paraId="6E62407A" w14:textId="4743D379" w:rsidR="005002D3" w:rsidRPr="000016AF" w:rsidRDefault="005002D3" w:rsidP="005002D3">
            <w:pPr>
              <w:spacing w:before="60" w:after="60"/>
              <w:rPr>
                <w:rFonts w:cs="Arial"/>
                <w:lang w:val="es-ES"/>
              </w:rPr>
            </w:pPr>
            <w:r w:rsidRPr="000016AF">
              <w:rPr>
                <w:rFonts w:cs="Arial"/>
                <w:lang w:val="es-ES"/>
              </w:rPr>
              <w:t xml:space="preserve">Inmediatamente después de que un participante haya recibido la ayuda, su resultado puede registrarse y notificarse en este indicador. </w:t>
            </w:r>
          </w:p>
          <w:p w14:paraId="4A507437" w14:textId="77777777" w:rsidR="005002D3" w:rsidRPr="000016AF" w:rsidRDefault="005002D3" w:rsidP="005002D3">
            <w:pPr>
              <w:spacing w:before="60" w:after="60"/>
              <w:rPr>
                <w:rFonts w:cs="Arial"/>
                <w:lang w:val="es-ES"/>
              </w:rPr>
            </w:pPr>
            <w:r w:rsidRPr="000016AF">
              <w:rPr>
                <w:rFonts w:cs="Arial"/>
                <w:lang w:val="es-ES"/>
              </w:rPr>
              <w:t xml:space="preserve">Si un participante se beneficia de varios tipos de apoyo dentro del mismo proyecto, deben seguirse los siguientes pasos para registrar los datos </w:t>
            </w:r>
          </w:p>
          <w:p w14:paraId="0B875167" w14:textId="77777777" w:rsidR="005002D3" w:rsidRPr="000016AF" w:rsidRDefault="005002D3" w:rsidP="005002D3">
            <w:pPr>
              <w:spacing w:before="60" w:after="60"/>
              <w:rPr>
                <w:rFonts w:cs="Arial"/>
                <w:lang w:val="es-ES"/>
              </w:rPr>
            </w:pPr>
            <w:r w:rsidRPr="000016AF">
              <w:rPr>
                <w:rFonts w:cs="Arial"/>
                <w:lang w:val="es-ES"/>
              </w:rPr>
              <w:t xml:space="preserve">(1) registrar el resultado de cada participante inmediatamente después de que haya terminado cada tipo de ayuda, </w:t>
            </w:r>
          </w:p>
          <w:p w14:paraId="614A93B7" w14:textId="77777777" w:rsidR="005002D3" w:rsidRPr="000016AF" w:rsidRDefault="005002D3" w:rsidP="005002D3">
            <w:pPr>
              <w:spacing w:before="60" w:after="60"/>
              <w:rPr>
                <w:rFonts w:cs="Arial"/>
                <w:lang w:val="es-ES"/>
              </w:rPr>
            </w:pPr>
            <w:r w:rsidRPr="000016AF">
              <w:rPr>
                <w:rFonts w:cs="Arial"/>
                <w:lang w:val="es-ES"/>
              </w:rPr>
              <w:t xml:space="preserve">(2) calcular el resultado global de cada participante estableciendo la media de los resultados individuales comunicados en el punto 1 anterior. Este paso se realiza al cierre del proyecto, </w:t>
            </w:r>
          </w:p>
          <w:p w14:paraId="0511AF46" w14:textId="77777777" w:rsidR="005002D3" w:rsidRPr="000016AF" w:rsidRDefault="005002D3" w:rsidP="005002D3">
            <w:pPr>
              <w:spacing w:before="60" w:after="60"/>
              <w:rPr>
                <w:rFonts w:cs="Arial"/>
                <w:lang w:val="es-ES"/>
              </w:rPr>
            </w:pPr>
            <w:r w:rsidRPr="000016AF">
              <w:rPr>
                <w:rFonts w:cs="Arial"/>
                <w:lang w:val="es-ES"/>
              </w:rPr>
              <w:t xml:space="preserve">(3) Si el resultado global para el participante es positivo, comuníquelo en el indicador. Se considera que el resultado global es positivo cuando la mayoría de las respuestas (&gt; 50%) del participante indican que las actividades fueron útiles para su </w:t>
            </w:r>
          </w:p>
          <w:p w14:paraId="127DB11A" w14:textId="1083329D" w:rsidR="005002D3" w:rsidRPr="000016AF" w:rsidRDefault="005002D3" w:rsidP="005002D3">
            <w:pPr>
              <w:spacing w:before="60" w:after="60"/>
              <w:rPr>
                <w:rFonts w:cs="Arial"/>
                <w:lang w:val="es-ES"/>
              </w:rPr>
            </w:pPr>
            <w:r w:rsidRPr="000016AF">
              <w:rPr>
                <w:rFonts w:cs="Arial"/>
                <w:lang w:val="es-ES"/>
              </w:rPr>
              <w:t xml:space="preserve">integración. Si el resultado global es de 50:50 (por ejemplo, dos respuestas positivas y dos negativas), el resultado más reciente registrado debe notificarse como resultado global para este participante.   </w:t>
            </w:r>
          </w:p>
          <w:p w14:paraId="143966C3" w14:textId="77777777" w:rsidR="0059338C" w:rsidRPr="000016AF" w:rsidRDefault="0059338C" w:rsidP="005002D3">
            <w:pPr>
              <w:spacing w:before="60" w:after="60"/>
              <w:rPr>
                <w:rFonts w:cs="Arial"/>
                <w:lang w:val="es-ES"/>
              </w:rPr>
            </w:pPr>
          </w:p>
          <w:p w14:paraId="488D5E30" w14:textId="7AFFED69" w:rsidR="0046229B" w:rsidRPr="000016AF" w:rsidRDefault="005002D3" w:rsidP="005002D3">
            <w:pPr>
              <w:spacing w:before="60" w:after="60"/>
              <w:rPr>
                <w:rFonts w:cs="Arial"/>
                <w:lang w:val="es-ES"/>
              </w:rPr>
            </w:pPr>
            <w:r w:rsidRPr="000016AF">
              <w:rPr>
                <w:rFonts w:cs="Arial"/>
                <w:lang w:val="es-ES"/>
              </w:rPr>
              <w:t>Un resultado significa la valoración del participante sobre si el apoyo fue útil para su integración.</w:t>
            </w:r>
          </w:p>
        </w:tc>
      </w:tr>
      <w:tr w:rsidR="000A250C" w:rsidRPr="000A250C" w14:paraId="78BF6588" w14:textId="77777777" w:rsidTr="008B0FA8">
        <w:tc>
          <w:tcPr>
            <w:tcW w:w="9062" w:type="dxa"/>
            <w:shd w:val="clear" w:color="auto" w:fill="D9E1F2"/>
            <w:vAlign w:val="center"/>
          </w:tcPr>
          <w:p w14:paraId="3B48F3D7" w14:textId="053C3912" w:rsidR="000A250C" w:rsidRPr="000016AF" w:rsidRDefault="000A250C" w:rsidP="000A250C">
            <w:pPr>
              <w:spacing w:before="60" w:after="60"/>
              <w:rPr>
                <w:b/>
                <w:lang w:val="es-ES"/>
              </w:rPr>
            </w:pPr>
            <w:r w:rsidRPr="000016AF">
              <w:rPr>
                <w:rFonts w:cs="Arial"/>
                <w:b/>
                <w:lang w:val="es-ES"/>
              </w:rPr>
              <w:lastRenderedPageBreak/>
              <w:t>R.</w:t>
            </w:r>
            <w:r>
              <w:rPr>
                <w:rFonts w:cs="Arial"/>
                <w:b/>
                <w:lang w:val="es-ES"/>
              </w:rPr>
              <w:t>2.9</w:t>
            </w:r>
            <w:r w:rsidR="008D54AD">
              <w:rPr>
                <w:rFonts w:cs="Arial"/>
                <w:b/>
                <w:lang w:val="es-ES"/>
              </w:rPr>
              <w:t>.</w:t>
            </w:r>
            <w:r>
              <w:rPr>
                <w:rFonts w:cs="Arial"/>
                <w:b/>
                <w:lang w:val="es-ES"/>
              </w:rPr>
              <w:t>aux</w:t>
            </w:r>
            <w:r w:rsidRPr="000016AF">
              <w:rPr>
                <w:rFonts w:cs="Arial"/>
                <w:b/>
                <w:lang w:val="es-ES"/>
              </w:rPr>
              <w:t xml:space="preserve"> </w:t>
            </w:r>
            <w:r w:rsidRPr="000A250C">
              <w:rPr>
                <w:rFonts w:cs="Arial"/>
                <w:b/>
                <w:lang w:val="es-ES"/>
              </w:rPr>
              <w:t>Número de participantes que responden al cuestionario del indicador R.2.9</w:t>
            </w:r>
          </w:p>
        </w:tc>
      </w:tr>
      <w:tr w:rsidR="000A250C" w:rsidRPr="000A250C" w14:paraId="663E4D76" w14:textId="77777777" w:rsidTr="000A250C">
        <w:tc>
          <w:tcPr>
            <w:tcW w:w="9062" w:type="dxa"/>
            <w:shd w:val="clear" w:color="auto" w:fill="auto"/>
            <w:vAlign w:val="center"/>
          </w:tcPr>
          <w:p w14:paraId="04F5D6CE" w14:textId="257675AA" w:rsidR="000A250C" w:rsidRPr="000016AF" w:rsidRDefault="008D54AD" w:rsidP="000A250C">
            <w:pPr>
              <w:spacing w:before="60" w:after="60"/>
              <w:rPr>
                <w:b/>
                <w:lang w:val="es-ES"/>
              </w:rPr>
            </w:pPr>
            <w:r w:rsidRPr="00577D2E">
              <w:rPr>
                <w:rFonts w:cs="Arial"/>
                <w:lang w:val="es-ES"/>
              </w:rPr>
              <w:lastRenderedPageBreak/>
              <w:t xml:space="preserve">Este es un indicador auxiliar </w:t>
            </w:r>
            <w:r>
              <w:rPr>
                <w:rFonts w:cs="Arial"/>
                <w:lang w:val="es-ES"/>
              </w:rPr>
              <w:t>para registrar el número de cuestionarios del indicador R.2.9 que son respondidos.</w:t>
            </w:r>
            <w:r w:rsidRPr="00577D2E">
              <w:rPr>
                <w:rFonts w:cs="Arial"/>
                <w:lang w:val="es-ES"/>
              </w:rPr>
              <w:t xml:space="preserve"> </w:t>
            </w:r>
            <w:r>
              <w:rPr>
                <w:rFonts w:cs="Arial"/>
                <w:lang w:val="es-ES"/>
              </w:rPr>
              <w:t>El resultado de este indicador se utiliza para calcular porcentajes.</w:t>
            </w:r>
          </w:p>
        </w:tc>
      </w:tr>
      <w:tr w:rsidR="0046229B" w:rsidRPr="000A250C" w14:paraId="3176BB65" w14:textId="77777777" w:rsidTr="008B0FA8">
        <w:tc>
          <w:tcPr>
            <w:tcW w:w="9062" w:type="dxa"/>
            <w:shd w:val="clear" w:color="auto" w:fill="D9E1F2"/>
            <w:vAlign w:val="center"/>
          </w:tcPr>
          <w:p w14:paraId="62214591" w14:textId="7B359AA7" w:rsidR="0046229B" w:rsidRPr="000016AF" w:rsidRDefault="0046229B" w:rsidP="0046229B">
            <w:pPr>
              <w:spacing w:before="60" w:after="60"/>
              <w:rPr>
                <w:rFonts w:cs="Arial"/>
                <w:b/>
                <w:lang w:val="es-ES"/>
              </w:rPr>
            </w:pPr>
            <w:r w:rsidRPr="000016AF">
              <w:rPr>
                <w:b/>
                <w:lang w:val="es-ES"/>
              </w:rPr>
              <w:t>R.2.10 Número de participantes que solicitaron el reconocimiento o la evaluación de sus cualificaciones o capacidades adquiridas en un tercer país</w:t>
            </w:r>
          </w:p>
        </w:tc>
      </w:tr>
      <w:tr w:rsidR="006E1BF6" w:rsidRPr="000A250C" w14:paraId="7EDE06BD" w14:textId="77777777" w:rsidTr="008B0FA8">
        <w:tc>
          <w:tcPr>
            <w:tcW w:w="9062" w:type="dxa"/>
            <w:shd w:val="clear" w:color="auto" w:fill="auto"/>
            <w:vAlign w:val="center"/>
          </w:tcPr>
          <w:p w14:paraId="43BF0247" w14:textId="77777777" w:rsidR="000A725C" w:rsidRDefault="000A725C" w:rsidP="000A725C">
            <w:pPr>
              <w:spacing w:before="60" w:after="60"/>
              <w:rPr>
                <w:rFonts w:cs="Arial"/>
                <w:lang w:val="es-ES"/>
              </w:rPr>
            </w:pPr>
            <w:r w:rsidRPr="006C390A">
              <w:rPr>
                <w:rFonts w:cs="Arial"/>
                <w:i/>
                <w:lang w:val="es-ES"/>
              </w:rPr>
              <w:t>Este indicador de resultados se calcula sobre la población del indicador O.</w:t>
            </w:r>
            <w:r>
              <w:rPr>
                <w:rFonts w:cs="Arial"/>
                <w:i/>
                <w:lang w:val="es-ES"/>
              </w:rPr>
              <w:t>2</w:t>
            </w:r>
            <w:r w:rsidRPr="006C390A">
              <w:rPr>
                <w:rFonts w:cs="Arial"/>
                <w:i/>
                <w:lang w:val="es-ES"/>
              </w:rPr>
              <w:t>.</w:t>
            </w:r>
            <w:r>
              <w:rPr>
                <w:rFonts w:cs="Arial"/>
                <w:i/>
                <w:lang w:val="es-ES"/>
              </w:rPr>
              <w:t>3.</w:t>
            </w:r>
            <w:r w:rsidRPr="006C390A">
              <w:rPr>
                <w:rFonts w:cs="Arial"/>
                <w:i/>
                <w:lang w:val="es-ES"/>
              </w:rPr>
              <w:t xml:space="preserve"> "</w:t>
            </w:r>
            <w:r w:rsidRPr="0073548D">
              <w:rPr>
                <w:rFonts w:cs="Arial"/>
                <w:i/>
                <w:lang w:val="es-ES"/>
              </w:rPr>
              <w:t>N</w:t>
            </w:r>
            <w:r w:rsidRPr="000A725C">
              <w:rPr>
                <w:rFonts w:cs="Arial"/>
                <w:i/>
                <w:lang w:val="es-ES"/>
              </w:rPr>
              <w:t xml:space="preserve">úmero de participantes </w:t>
            </w:r>
            <w:r>
              <w:rPr>
                <w:rFonts w:cs="Arial"/>
                <w:i/>
                <w:lang w:val="es-ES"/>
              </w:rPr>
              <w:t>a los que se ha prestado apoyo</w:t>
            </w:r>
            <w:r w:rsidRPr="006C390A">
              <w:rPr>
                <w:rFonts w:cs="Arial"/>
                <w:i/>
                <w:lang w:val="es-ES"/>
              </w:rPr>
              <w:t>", por lo que su valor no puede ser superior</w:t>
            </w:r>
            <w:r>
              <w:rPr>
                <w:rFonts w:cs="Arial"/>
                <w:i/>
                <w:lang w:val="es-ES"/>
              </w:rPr>
              <w:t xml:space="preserve"> al resultado del indicador O.2.3.</w:t>
            </w:r>
          </w:p>
          <w:p w14:paraId="42BA4461" w14:textId="0DA7F472" w:rsidR="006E1BF6" w:rsidRPr="000016AF" w:rsidRDefault="006E1BF6" w:rsidP="006E1BF6">
            <w:pPr>
              <w:spacing w:before="60" w:after="60"/>
              <w:rPr>
                <w:rFonts w:cs="Arial"/>
                <w:lang w:val="es-ES"/>
              </w:rPr>
            </w:pPr>
          </w:p>
        </w:tc>
      </w:tr>
      <w:tr w:rsidR="0046229B" w:rsidRPr="000A250C" w14:paraId="20BF3336" w14:textId="77777777" w:rsidTr="008B0FA8">
        <w:tc>
          <w:tcPr>
            <w:tcW w:w="9062" w:type="dxa"/>
            <w:shd w:val="clear" w:color="auto" w:fill="auto"/>
            <w:vAlign w:val="center"/>
          </w:tcPr>
          <w:p w14:paraId="41132333" w14:textId="163A1FDD" w:rsidR="0005279B" w:rsidRPr="000016AF" w:rsidRDefault="0005279B" w:rsidP="0005279B">
            <w:pPr>
              <w:spacing w:before="60" w:after="60"/>
              <w:rPr>
                <w:rFonts w:cs="Arial"/>
                <w:lang w:val="es-ES"/>
              </w:rPr>
            </w:pPr>
            <w:r w:rsidRPr="000016AF">
              <w:rPr>
                <w:rFonts w:cs="Arial"/>
                <w:lang w:val="es-ES"/>
              </w:rPr>
              <w:t>A efectos de este indicador, se entiende por participante</w:t>
            </w:r>
            <w:r>
              <w:rPr>
                <w:rFonts w:cs="Arial"/>
                <w:lang w:val="es-ES"/>
              </w:rPr>
              <w:t>s tan solo a</w:t>
            </w:r>
            <w:r w:rsidRPr="000016AF">
              <w:rPr>
                <w:rFonts w:cs="Arial"/>
                <w:lang w:val="es-ES"/>
              </w:rPr>
              <w:t xml:space="preserve"> nacional</w:t>
            </w:r>
            <w:r>
              <w:rPr>
                <w:rFonts w:cs="Arial"/>
                <w:lang w:val="es-ES"/>
              </w:rPr>
              <w:t>es</w:t>
            </w:r>
            <w:r w:rsidRPr="000016AF">
              <w:rPr>
                <w:rFonts w:cs="Arial"/>
                <w:lang w:val="es-ES"/>
              </w:rPr>
              <w:t xml:space="preserve"> de tercer</w:t>
            </w:r>
            <w:r>
              <w:rPr>
                <w:rFonts w:cs="Arial"/>
                <w:lang w:val="es-ES"/>
              </w:rPr>
              <w:t>os</w:t>
            </w:r>
            <w:r w:rsidRPr="000016AF">
              <w:rPr>
                <w:rFonts w:cs="Arial"/>
                <w:lang w:val="es-ES"/>
              </w:rPr>
              <w:t xml:space="preserve"> país</w:t>
            </w:r>
            <w:r>
              <w:rPr>
                <w:rFonts w:cs="Arial"/>
                <w:lang w:val="es-ES"/>
              </w:rPr>
              <w:t>es</w:t>
            </w:r>
            <w:r w:rsidRPr="000016AF">
              <w:rPr>
                <w:rFonts w:cs="Arial"/>
                <w:lang w:val="es-ES"/>
              </w:rPr>
              <w:t xml:space="preserve">.   </w:t>
            </w:r>
          </w:p>
          <w:p w14:paraId="665967F0" w14:textId="79280361" w:rsidR="006E1BF6" w:rsidRPr="000016AF" w:rsidRDefault="006E1BF6" w:rsidP="006E1BF6">
            <w:pPr>
              <w:spacing w:before="60" w:after="60"/>
              <w:rPr>
                <w:rFonts w:cs="Arial"/>
                <w:lang w:val="es-ES"/>
              </w:rPr>
            </w:pPr>
            <w:r w:rsidRPr="000016AF">
              <w:rPr>
                <w:rFonts w:cs="Arial"/>
                <w:lang w:val="es-ES"/>
              </w:rPr>
              <w:t xml:space="preserve">Inmediatamente después de que el participante haya recibido la ayuda, su resultado puede registrarse y notificarse en este indicador. </w:t>
            </w:r>
          </w:p>
          <w:p w14:paraId="0F169774" w14:textId="77777777" w:rsidR="0059338C" w:rsidRPr="000016AF" w:rsidRDefault="0059338C" w:rsidP="006E1BF6">
            <w:pPr>
              <w:spacing w:before="60" w:after="60"/>
              <w:rPr>
                <w:rFonts w:cs="Arial"/>
                <w:lang w:val="es-ES"/>
              </w:rPr>
            </w:pPr>
          </w:p>
          <w:p w14:paraId="5DA51262" w14:textId="0EF54A6B" w:rsidR="0046229B" w:rsidRPr="000016AF" w:rsidRDefault="006E1BF6" w:rsidP="006E1BF6">
            <w:pPr>
              <w:spacing w:before="60" w:after="60"/>
              <w:rPr>
                <w:rFonts w:cs="Arial"/>
                <w:lang w:val="es-ES"/>
              </w:rPr>
            </w:pPr>
            <w:r w:rsidRPr="000016AF">
              <w:rPr>
                <w:rFonts w:cs="Arial"/>
                <w:lang w:val="es-ES"/>
              </w:rPr>
              <w:t xml:space="preserve">Cualquier tipo de apoyo prestado al participante en el marco del indicador de salida puede dar lugar a este resultado.  </w:t>
            </w:r>
          </w:p>
        </w:tc>
      </w:tr>
      <w:tr w:rsidR="0046229B" w:rsidRPr="000A250C" w14:paraId="78239F3C" w14:textId="77777777" w:rsidTr="008B0FA8">
        <w:tc>
          <w:tcPr>
            <w:tcW w:w="9062" w:type="dxa"/>
            <w:shd w:val="clear" w:color="auto" w:fill="D9E1F2"/>
            <w:vAlign w:val="center"/>
          </w:tcPr>
          <w:p w14:paraId="621C70E3" w14:textId="3A91B665" w:rsidR="0046229B" w:rsidRPr="000016AF" w:rsidRDefault="0046229B" w:rsidP="0046229B">
            <w:pPr>
              <w:spacing w:before="60" w:after="60"/>
              <w:rPr>
                <w:rFonts w:cs="Arial"/>
                <w:b/>
                <w:lang w:val="es-ES"/>
              </w:rPr>
            </w:pPr>
            <w:r w:rsidRPr="000016AF">
              <w:rPr>
                <w:b/>
                <w:lang w:val="es-ES"/>
              </w:rPr>
              <w:t>R.2.11 Número de participantes que solicitaron el estatuto de residente de larga duración</w:t>
            </w:r>
          </w:p>
        </w:tc>
      </w:tr>
      <w:tr w:rsidR="0046229B" w:rsidRPr="000A250C" w14:paraId="1E5AFFEC" w14:textId="77777777" w:rsidTr="008B0FA8">
        <w:tc>
          <w:tcPr>
            <w:tcW w:w="9062" w:type="dxa"/>
            <w:shd w:val="clear" w:color="auto" w:fill="auto"/>
            <w:vAlign w:val="center"/>
          </w:tcPr>
          <w:p w14:paraId="26465A89" w14:textId="77777777" w:rsidR="000A725C" w:rsidRDefault="000A725C" w:rsidP="000A725C">
            <w:pPr>
              <w:spacing w:before="60" w:after="60"/>
              <w:rPr>
                <w:rFonts w:cs="Arial"/>
                <w:lang w:val="es-ES"/>
              </w:rPr>
            </w:pPr>
            <w:r w:rsidRPr="006C390A">
              <w:rPr>
                <w:rFonts w:cs="Arial"/>
                <w:i/>
                <w:lang w:val="es-ES"/>
              </w:rPr>
              <w:t>Este indicador de resultados se calcula sobre la población del indicador O.</w:t>
            </w:r>
            <w:r>
              <w:rPr>
                <w:rFonts w:cs="Arial"/>
                <w:i/>
                <w:lang w:val="es-ES"/>
              </w:rPr>
              <w:t>2</w:t>
            </w:r>
            <w:r w:rsidRPr="006C390A">
              <w:rPr>
                <w:rFonts w:cs="Arial"/>
                <w:i/>
                <w:lang w:val="es-ES"/>
              </w:rPr>
              <w:t>.</w:t>
            </w:r>
            <w:r>
              <w:rPr>
                <w:rFonts w:cs="Arial"/>
                <w:i/>
                <w:lang w:val="es-ES"/>
              </w:rPr>
              <w:t>3.</w:t>
            </w:r>
            <w:r w:rsidRPr="006C390A">
              <w:rPr>
                <w:rFonts w:cs="Arial"/>
                <w:i/>
                <w:lang w:val="es-ES"/>
              </w:rPr>
              <w:t xml:space="preserve"> "</w:t>
            </w:r>
            <w:r w:rsidRPr="0073548D">
              <w:rPr>
                <w:rFonts w:cs="Arial"/>
                <w:i/>
                <w:lang w:val="es-ES"/>
              </w:rPr>
              <w:t>N</w:t>
            </w:r>
            <w:r w:rsidRPr="000A725C">
              <w:rPr>
                <w:rFonts w:cs="Arial"/>
                <w:i/>
                <w:lang w:val="es-ES"/>
              </w:rPr>
              <w:t xml:space="preserve">úmero de participantes </w:t>
            </w:r>
            <w:r>
              <w:rPr>
                <w:rFonts w:cs="Arial"/>
                <w:i/>
                <w:lang w:val="es-ES"/>
              </w:rPr>
              <w:t>a los que se ha prestado apoyo</w:t>
            </w:r>
            <w:r w:rsidRPr="006C390A">
              <w:rPr>
                <w:rFonts w:cs="Arial"/>
                <w:i/>
                <w:lang w:val="es-ES"/>
              </w:rPr>
              <w:t>", por lo que su valor no puede ser superior</w:t>
            </w:r>
            <w:r>
              <w:rPr>
                <w:rFonts w:cs="Arial"/>
                <w:i/>
                <w:lang w:val="es-ES"/>
              </w:rPr>
              <w:t xml:space="preserve"> al resultado del indicador O.2.3.</w:t>
            </w:r>
          </w:p>
          <w:p w14:paraId="51B4C0F3" w14:textId="53ACFF84" w:rsidR="0046229B" w:rsidRPr="000016AF" w:rsidRDefault="0046229B" w:rsidP="006E1BF6">
            <w:pPr>
              <w:spacing w:before="60" w:after="60"/>
              <w:rPr>
                <w:rFonts w:cs="Arial"/>
                <w:lang w:val="es-ES"/>
              </w:rPr>
            </w:pPr>
          </w:p>
        </w:tc>
      </w:tr>
      <w:tr w:rsidR="006E1BF6" w:rsidRPr="000A250C" w14:paraId="24FDA724" w14:textId="77777777" w:rsidTr="008B0FA8">
        <w:tc>
          <w:tcPr>
            <w:tcW w:w="9062" w:type="dxa"/>
            <w:shd w:val="clear" w:color="auto" w:fill="auto"/>
            <w:vAlign w:val="center"/>
          </w:tcPr>
          <w:p w14:paraId="3E4CE040" w14:textId="70BCF050" w:rsidR="006E1BF6" w:rsidRPr="000016AF" w:rsidRDefault="006E1BF6" w:rsidP="006E1BF6">
            <w:pPr>
              <w:spacing w:before="60" w:after="60"/>
              <w:rPr>
                <w:rFonts w:cs="Arial"/>
                <w:lang w:val="es-ES"/>
              </w:rPr>
            </w:pPr>
            <w:r w:rsidRPr="000016AF">
              <w:rPr>
                <w:rFonts w:cs="Arial"/>
                <w:lang w:val="es-ES"/>
              </w:rPr>
              <w:t xml:space="preserve">Inmediatamente después de que el participante haya recibido la ayuda, su resultado puede registrarse y notificarse en este indicador. Cualquier tipo de apoyo prestado al participante en el marco del indicador de resultados puede conducir a este resultado. </w:t>
            </w:r>
          </w:p>
          <w:p w14:paraId="1B5C2F97" w14:textId="77777777" w:rsidR="0059338C" w:rsidRPr="000016AF" w:rsidRDefault="0059338C" w:rsidP="006E1BF6">
            <w:pPr>
              <w:spacing w:before="60" w:after="60"/>
              <w:rPr>
                <w:rFonts w:cs="Arial"/>
                <w:lang w:val="es-ES"/>
              </w:rPr>
            </w:pPr>
          </w:p>
          <w:p w14:paraId="6E5A9B1D" w14:textId="2643CB19" w:rsidR="006E1BF6" w:rsidRPr="000016AF" w:rsidRDefault="006E1BF6" w:rsidP="006E1BF6">
            <w:pPr>
              <w:spacing w:before="60" w:after="60"/>
              <w:rPr>
                <w:rFonts w:cs="Arial"/>
                <w:lang w:val="es-ES"/>
              </w:rPr>
            </w:pPr>
            <w:r w:rsidRPr="000016AF">
              <w:rPr>
                <w:rFonts w:cs="Arial"/>
                <w:lang w:val="es-ES"/>
              </w:rPr>
              <w:t>Si la misma persona ha presentado su solicitud más de una vez, sólo se debe informar de ella una vez en el proyecto.</w:t>
            </w:r>
          </w:p>
        </w:tc>
      </w:tr>
    </w:tbl>
    <w:p w14:paraId="5B914FD7" w14:textId="70EDCC3D" w:rsidR="008B0FA8" w:rsidRDefault="008B0FA8" w:rsidP="008B0FA8">
      <w:pPr>
        <w:rPr>
          <w:rFonts w:cs="Arial"/>
          <w:lang w:val="es-ES"/>
        </w:rPr>
      </w:pPr>
    </w:p>
    <w:p w14:paraId="1C07A6D2" w14:textId="6C977471" w:rsidR="0005279B" w:rsidRPr="000016AF" w:rsidRDefault="00577D2E" w:rsidP="008B0FA8">
      <w:pPr>
        <w:rPr>
          <w:rFonts w:cs="Arial"/>
          <w:lang w:val="es-ES"/>
        </w:rPr>
      </w:pPr>
      <w:r>
        <w:rPr>
          <w:rFonts w:cs="Arial"/>
          <w:lang w:val="es-ES"/>
        </w:rPr>
        <w:br w:type="page"/>
      </w:r>
    </w:p>
    <w:sectPr w:rsidR="0005279B" w:rsidRPr="000016AF" w:rsidSect="00D53E9C">
      <w:headerReference w:type="default" r:id="rId8"/>
      <w:footerReference w:type="default" r:id="rId9"/>
      <w:headerReference w:type="first" r:id="rId10"/>
      <w:pgSz w:w="11906" w:h="16838"/>
      <w:pgMar w:top="1417" w:right="1417" w:bottom="1134" w:left="1417"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C4950" w14:textId="77777777" w:rsidR="000A250C" w:rsidRDefault="000A250C" w:rsidP="00CC19AA">
      <w:pPr>
        <w:spacing w:line="240" w:lineRule="auto"/>
      </w:pPr>
      <w:r>
        <w:separator/>
      </w:r>
    </w:p>
  </w:endnote>
  <w:endnote w:type="continuationSeparator" w:id="0">
    <w:p w14:paraId="41679DAF" w14:textId="77777777" w:rsidR="000A250C" w:rsidRDefault="000A250C" w:rsidP="00CC1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421375"/>
      <w:docPartObj>
        <w:docPartGallery w:val="Page Numbers (Bottom of Page)"/>
        <w:docPartUnique/>
      </w:docPartObj>
    </w:sdtPr>
    <w:sdtEndPr/>
    <w:sdtContent>
      <w:p w14:paraId="55C03A41" w14:textId="77777777" w:rsidR="000A250C" w:rsidRDefault="000A250C">
        <w:pPr>
          <w:pStyle w:val="Piedepgina"/>
          <w:jc w:val="center"/>
        </w:pPr>
        <w:r>
          <w:rPr>
            <w:noProof/>
            <w:lang w:val="es-ES" w:eastAsia="es-ES" w:bidi="ar-SA"/>
          </w:rPr>
          <mc:AlternateContent>
            <mc:Choice Requires="wps">
              <w:drawing>
                <wp:inline distT="0" distB="0" distL="0" distR="0" wp14:anchorId="3B5E5E20" wp14:editId="2E4DBFA0">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81BCA05"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4A87A076" w14:textId="77777777" w:rsidR="000A250C" w:rsidRDefault="000A250C">
        <w:pPr>
          <w:pStyle w:val="Piedepgina"/>
          <w:jc w:val="center"/>
        </w:pPr>
        <w:r>
          <w:fldChar w:fldCharType="begin"/>
        </w:r>
        <w:r>
          <w:instrText>PAGE    \* MERGEFORMAT</w:instrText>
        </w:r>
        <w:r>
          <w:fldChar w:fldCharType="separate"/>
        </w:r>
        <w:r>
          <w:rPr>
            <w:noProof/>
          </w:rPr>
          <w:t>6</w:t>
        </w:r>
        <w:r>
          <w:fldChar w:fldCharType="end"/>
        </w:r>
      </w:p>
    </w:sdtContent>
  </w:sdt>
  <w:p w14:paraId="5023A855" w14:textId="77777777" w:rsidR="000A250C" w:rsidRDefault="000A25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0F28F" w14:textId="77777777" w:rsidR="000A250C" w:rsidRDefault="000A250C" w:rsidP="00CC19AA">
      <w:pPr>
        <w:spacing w:line="240" w:lineRule="auto"/>
      </w:pPr>
      <w:r>
        <w:separator/>
      </w:r>
    </w:p>
  </w:footnote>
  <w:footnote w:type="continuationSeparator" w:id="0">
    <w:p w14:paraId="0B3ED5C3" w14:textId="77777777" w:rsidR="000A250C" w:rsidRDefault="000A250C" w:rsidP="00CC1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C264" w14:textId="4ED716CE" w:rsidR="000A250C" w:rsidRPr="00D53E9C" w:rsidRDefault="000A250C" w:rsidP="00D53E9C">
    <w:pPr>
      <w:pStyle w:val="Encabezado"/>
      <w:jc w:val="center"/>
      <w:rPr>
        <w:sz w:val="14"/>
        <w:lang w:val="es-ES"/>
      </w:rPr>
    </w:pPr>
    <w:r w:rsidRPr="00D53E9C">
      <w:rPr>
        <w:rFonts w:cs="Arial"/>
        <w:sz w:val="18"/>
        <w:lang w:val="es-ES"/>
      </w:rPr>
      <w:t>ANEXO I: PAUTAS PARA EL REGISTRO DE DATOS</w:t>
    </w:r>
  </w:p>
  <w:p w14:paraId="2C81760C" w14:textId="77777777" w:rsidR="000A250C" w:rsidRPr="00D53E9C" w:rsidRDefault="000A250C">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Ind w:w="-850" w:type="dxa"/>
      <w:tblLayout w:type="fixed"/>
      <w:tblLook w:val="04A0" w:firstRow="1" w:lastRow="0" w:firstColumn="1" w:lastColumn="0" w:noHBand="0" w:noVBand="1"/>
    </w:tblPr>
    <w:tblGrid>
      <w:gridCol w:w="1271"/>
      <w:gridCol w:w="2554"/>
      <w:gridCol w:w="3400"/>
      <w:gridCol w:w="2975"/>
    </w:tblGrid>
    <w:tr w:rsidR="000A250C" w14:paraId="084AD1FA" w14:textId="77777777" w:rsidTr="00D53E9C">
      <w:trPr>
        <w:trHeight w:val="99"/>
      </w:trPr>
      <w:tc>
        <w:tcPr>
          <w:tcW w:w="1272" w:type="dxa"/>
          <w:vMerge w:val="restart"/>
          <w:hideMark/>
        </w:tcPr>
        <w:p w14:paraId="50721D5D" w14:textId="43B1929B" w:rsidR="000A250C" w:rsidRDefault="000A250C" w:rsidP="00D53E9C">
          <w:pPr>
            <w:tabs>
              <w:tab w:val="center" w:pos="4252"/>
              <w:tab w:val="right" w:pos="8504"/>
            </w:tabs>
            <w:spacing w:line="240" w:lineRule="auto"/>
            <w:jc w:val="center"/>
            <w:rPr>
              <w:rFonts w:eastAsia="Arial" w:cs="Arial"/>
              <w:color w:val="000000"/>
              <w:sz w:val="20"/>
              <w:szCs w:val="20"/>
            </w:rPr>
          </w:pPr>
          <w:r>
            <w:rPr>
              <w:rFonts w:ascii="Calibri" w:hAnsi="Calibri"/>
              <w:noProof/>
              <w:szCs w:val="22"/>
              <w:lang w:val="es-ES" w:eastAsia="es-ES" w:bidi="ar-SA"/>
            </w:rPr>
            <w:drawing>
              <wp:anchor distT="0" distB="0" distL="114300" distR="114300" simplePos="0" relativeHeight="251661312" behindDoc="0" locked="0" layoutInCell="1" allowOverlap="1" wp14:anchorId="40A4B27E" wp14:editId="665771B1">
                <wp:simplePos x="0" y="0"/>
                <wp:positionH relativeFrom="column">
                  <wp:posOffset>-3175</wp:posOffset>
                </wp:positionH>
                <wp:positionV relativeFrom="paragraph">
                  <wp:posOffset>4445</wp:posOffset>
                </wp:positionV>
                <wp:extent cx="723265" cy="704850"/>
                <wp:effectExtent l="0" t="0" r="63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04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556" w:type="dxa"/>
          <w:vMerge w:val="restart"/>
          <w:hideMark/>
        </w:tcPr>
        <w:p w14:paraId="44DD5EC3" w14:textId="77777777" w:rsidR="000A250C" w:rsidRPr="00D53E9C" w:rsidRDefault="000A250C" w:rsidP="00D53E9C">
          <w:pPr>
            <w:tabs>
              <w:tab w:val="center" w:pos="4252"/>
              <w:tab w:val="right" w:pos="8504"/>
            </w:tabs>
            <w:spacing w:before="240" w:line="240" w:lineRule="auto"/>
            <w:ind w:left="-69"/>
            <w:jc w:val="both"/>
            <w:rPr>
              <w:rFonts w:ascii="Century Gothic" w:eastAsia="Century Gothic" w:hAnsi="Century Gothic" w:cs="Century Gothic"/>
              <w:color w:val="000000"/>
              <w:sz w:val="18"/>
              <w:szCs w:val="18"/>
              <w:lang w:val="es-ES"/>
            </w:rPr>
          </w:pPr>
          <w:r w:rsidRPr="00D53E9C">
            <w:rPr>
              <w:rFonts w:ascii="Century Gothic" w:eastAsia="Century Gothic" w:hAnsi="Century Gothic" w:cs="Century Gothic"/>
              <w:color w:val="000000"/>
              <w:sz w:val="18"/>
              <w:szCs w:val="18"/>
              <w:lang w:val="es-ES"/>
            </w:rPr>
            <w:t>MINISTERIO</w:t>
          </w:r>
        </w:p>
        <w:p w14:paraId="7B8940D8" w14:textId="77777777" w:rsidR="000A250C" w:rsidRPr="00D53E9C" w:rsidRDefault="000A250C" w:rsidP="00D53E9C">
          <w:pPr>
            <w:tabs>
              <w:tab w:val="center" w:pos="4252"/>
              <w:tab w:val="right" w:pos="8504"/>
            </w:tabs>
            <w:spacing w:line="240" w:lineRule="auto"/>
            <w:ind w:left="-69"/>
            <w:jc w:val="both"/>
            <w:rPr>
              <w:rFonts w:ascii="Century Gothic" w:eastAsia="Century Gothic" w:hAnsi="Century Gothic" w:cs="Century Gothic"/>
              <w:color w:val="000000"/>
              <w:sz w:val="18"/>
              <w:szCs w:val="18"/>
              <w:lang w:val="es-ES"/>
            </w:rPr>
          </w:pPr>
          <w:r w:rsidRPr="00D53E9C">
            <w:rPr>
              <w:rFonts w:ascii="Century Gothic" w:eastAsia="Century Gothic" w:hAnsi="Century Gothic" w:cs="Century Gothic"/>
              <w:color w:val="000000"/>
              <w:sz w:val="18"/>
              <w:szCs w:val="18"/>
              <w:lang w:val="es-ES"/>
            </w:rPr>
            <w:t>DE INCLUSIÓN,</w:t>
          </w:r>
        </w:p>
        <w:p w14:paraId="5B898EC9" w14:textId="77777777" w:rsidR="000A250C" w:rsidRPr="00D53E9C" w:rsidRDefault="000A250C" w:rsidP="00D53E9C">
          <w:pPr>
            <w:tabs>
              <w:tab w:val="center" w:pos="4252"/>
              <w:tab w:val="right" w:pos="8504"/>
            </w:tabs>
            <w:spacing w:line="240" w:lineRule="auto"/>
            <w:ind w:left="-69"/>
            <w:jc w:val="both"/>
            <w:rPr>
              <w:rFonts w:ascii="Century Gothic" w:eastAsia="Century Gothic" w:hAnsi="Century Gothic" w:cs="Century Gothic"/>
              <w:color w:val="000000"/>
              <w:sz w:val="18"/>
              <w:szCs w:val="18"/>
              <w:lang w:val="es-ES"/>
            </w:rPr>
          </w:pPr>
          <w:r w:rsidRPr="00D53E9C">
            <w:rPr>
              <w:rFonts w:ascii="Century Gothic" w:eastAsia="Century Gothic" w:hAnsi="Century Gothic" w:cs="Century Gothic"/>
              <w:color w:val="000000"/>
              <w:sz w:val="18"/>
              <w:szCs w:val="18"/>
              <w:lang w:val="es-ES"/>
            </w:rPr>
            <w:t>SEGURIDAD SOCIAL</w:t>
          </w:r>
        </w:p>
        <w:p w14:paraId="473799A6" w14:textId="77777777" w:rsidR="000A250C" w:rsidRPr="00D53E9C" w:rsidRDefault="000A250C" w:rsidP="00D53E9C">
          <w:pPr>
            <w:tabs>
              <w:tab w:val="center" w:pos="4252"/>
              <w:tab w:val="right" w:pos="8504"/>
            </w:tabs>
            <w:spacing w:line="240" w:lineRule="auto"/>
            <w:ind w:left="-69"/>
            <w:jc w:val="both"/>
            <w:rPr>
              <w:rFonts w:ascii="Century Gothic" w:eastAsia="Century Gothic" w:hAnsi="Century Gothic" w:cs="Century Gothic"/>
              <w:color w:val="000000"/>
              <w:sz w:val="18"/>
              <w:szCs w:val="18"/>
              <w:lang w:val="es-ES"/>
            </w:rPr>
          </w:pPr>
          <w:r w:rsidRPr="00D53E9C">
            <w:rPr>
              <w:rFonts w:ascii="Century Gothic" w:eastAsia="Century Gothic" w:hAnsi="Century Gothic" w:cs="Century Gothic"/>
              <w:color w:val="000000"/>
              <w:sz w:val="18"/>
              <w:szCs w:val="18"/>
              <w:lang w:val="es-ES"/>
            </w:rPr>
            <w:t>Y MIGRACIONES</w:t>
          </w:r>
        </w:p>
      </w:tc>
      <w:tc>
        <w:tcPr>
          <w:tcW w:w="3402" w:type="dxa"/>
          <w:vMerge w:val="restart"/>
        </w:tcPr>
        <w:p w14:paraId="3B0E4CF9" w14:textId="467FFD6D" w:rsidR="000A250C" w:rsidRDefault="000A250C" w:rsidP="00D53E9C">
          <w:pPr>
            <w:tabs>
              <w:tab w:val="left" w:pos="193"/>
              <w:tab w:val="left" w:pos="3930"/>
              <w:tab w:val="right" w:pos="4035"/>
            </w:tabs>
            <w:spacing w:line="240" w:lineRule="auto"/>
            <w:rPr>
              <w:rFonts w:ascii="Century Gothic" w:eastAsia="Century Gothic" w:hAnsi="Century Gothic" w:cs="Century Gothic"/>
              <w:b/>
              <w:color w:val="000000"/>
              <w:sz w:val="20"/>
              <w:szCs w:val="20"/>
            </w:rPr>
          </w:pPr>
          <w:r>
            <w:rPr>
              <w:noProof/>
              <w:lang w:val="es-ES" w:eastAsia="es-ES" w:bidi="ar-SA"/>
            </w:rPr>
            <w:drawing>
              <wp:inline distT="0" distB="0" distL="0" distR="0" wp14:anchorId="09605A3A" wp14:editId="69719C24">
                <wp:extent cx="1209675" cy="7905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90575"/>
                        </a:xfrm>
                        <a:prstGeom prst="rect">
                          <a:avLst/>
                        </a:prstGeom>
                        <a:noFill/>
                        <a:ln>
                          <a:noFill/>
                        </a:ln>
                      </pic:spPr>
                    </pic:pic>
                  </a:graphicData>
                </a:graphic>
              </wp:inline>
            </w:drawing>
          </w:r>
        </w:p>
        <w:p w14:paraId="2EABB3DD" w14:textId="77777777" w:rsidR="000A250C" w:rsidRDefault="000A250C" w:rsidP="00D53E9C">
          <w:pPr>
            <w:tabs>
              <w:tab w:val="left" w:pos="193"/>
              <w:tab w:val="right" w:pos="4035"/>
            </w:tabs>
            <w:spacing w:line="240" w:lineRule="auto"/>
            <w:jc w:val="both"/>
            <w:rPr>
              <w:rFonts w:ascii="Century Gothic" w:eastAsia="Century Gothic" w:hAnsi="Century Gothic" w:cs="Century Gothic"/>
              <w:b/>
              <w:color w:val="000000"/>
              <w:sz w:val="20"/>
              <w:szCs w:val="20"/>
            </w:rPr>
          </w:pPr>
        </w:p>
      </w:tc>
      <w:tc>
        <w:tcPr>
          <w:tcW w:w="2977" w:type="dxa"/>
          <w:tcBorders>
            <w:top w:val="single" w:sz="6" w:space="0" w:color="000000"/>
            <w:left w:val="single" w:sz="6" w:space="0" w:color="000000"/>
            <w:bottom w:val="nil"/>
            <w:right w:val="single" w:sz="6" w:space="0" w:color="000000"/>
          </w:tcBorders>
        </w:tcPr>
        <w:p w14:paraId="0C200319" w14:textId="77777777" w:rsidR="000A250C" w:rsidRDefault="000A250C" w:rsidP="00D53E9C">
          <w:pPr>
            <w:spacing w:line="240" w:lineRule="auto"/>
            <w:ind w:right="-82"/>
            <w:rPr>
              <w:rFonts w:ascii="Century Gothic" w:eastAsia="Century Gothic" w:hAnsi="Century Gothic" w:cs="Century Gothic"/>
              <w:color w:val="000000"/>
              <w:sz w:val="8"/>
              <w:szCs w:val="8"/>
            </w:rPr>
          </w:pPr>
        </w:p>
        <w:p w14:paraId="43239971" w14:textId="77777777" w:rsidR="000A250C" w:rsidRDefault="000A250C" w:rsidP="00D53E9C">
          <w:pPr>
            <w:spacing w:line="240" w:lineRule="auto"/>
            <w:ind w:right="-82"/>
            <w:rPr>
              <w:rFonts w:ascii="Gill Sans MT" w:eastAsia="Gill Sans MT" w:hAnsi="Gill Sans MT" w:cs="Gill Sans MT"/>
              <w:color w:val="000000"/>
              <w:sz w:val="14"/>
              <w:szCs w:val="14"/>
            </w:rPr>
          </w:pPr>
          <w:r>
            <w:rPr>
              <w:rFonts w:ascii="Century Gothic" w:eastAsia="Century Gothic" w:hAnsi="Century Gothic" w:cs="Century Gothic"/>
              <w:color w:val="000000"/>
              <w:sz w:val="14"/>
              <w:szCs w:val="14"/>
            </w:rPr>
            <w:t xml:space="preserve">SECRETARÍA DE </w:t>
          </w:r>
          <w:r>
            <w:rPr>
              <w:rFonts w:ascii="Gill Sans MT" w:eastAsia="Gill Sans MT" w:hAnsi="Gill Sans MT" w:cs="Gill Sans MT"/>
              <w:color w:val="000000"/>
              <w:sz w:val="14"/>
              <w:szCs w:val="14"/>
            </w:rPr>
            <w:t>ESTADO DE MIGRACIONES</w:t>
          </w:r>
        </w:p>
        <w:p w14:paraId="47C26934" w14:textId="77777777" w:rsidR="000A250C" w:rsidRDefault="000A250C" w:rsidP="00D53E9C">
          <w:pPr>
            <w:spacing w:line="240" w:lineRule="auto"/>
            <w:ind w:right="-82"/>
            <w:rPr>
              <w:rFonts w:ascii="Gill Sans MT" w:eastAsia="Gill Sans MT" w:hAnsi="Gill Sans MT" w:cs="Gill Sans MT"/>
              <w:color w:val="000000"/>
              <w:sz w:val="8"/>
              <w:szCs w:val="8"/>
            </w:rPr>
          </w:pPr>
        </w:p>
      </w:tc>
    </w:tr>
    <w:tr w:rsidR="000A250C" w:rsidRPr="000A250C" w14:paraId="741A3C7F" w14:textId="77777777" w:rsidTr="00D53E9C">
      <w:trPr>
        <w:trHeight w:val="164"/>
      </w:trPr>
      <w:tc>
        <w:tcPr>
          <w:tcW w:w="1272" w:type="dxa"/>
          <w:vMerge/>
          <w:vAlign w:val="center"/>
          <w:hideMark/>
        </w:tcPr>
        <w:p w14:paraId="39660E61" w14:textId="77777777" w:rsidR="000A250C" w:rsidRDefault="000A250C" w:rsidP="00D53E9C">
          <w:pPr>
            <w:rPr>
              <w:rFonts w:eastAsia="Arial" w:cs="Arial"/>
              <w:color w:val="000000"/>
              <w:sz w:val="20"/>
              <w:szCs w:val="20"/>
              <w:lang w:val="es-ES"/>
            </w:rPr>
          </w:pPr>
        </w:p>
      </w:tc>
      <w:tc>
        <w:tcPr>
          <w:tcW w:w="2556" w:type="dxa"/>
          <w:vMerge/>
          <w:vAlign w:val="center"/>
          <w:hideMark/>
        </w:tcPr>
        <w:p w14:paraId="1B427FAC" w14:textId="77777777" w:rsidR="000A250C" w:rsidRDefault="000A250C" w:rsidP="00D53E9C">
          <w:pPr>
            <w:rPr>
              <w:rFonts w:ascii="Century Gothic" w:eastAsia="Century Gothic" w:hAnsi="Century Gothic" w:cs="Century Gothic"/>
              <w:color w:val="000000"/>
              <w:sz w:val="18"/>
              <w:szCs w:val="18"/>
              <w:lang w:val="es-ES"/>
            </w:rPr>
          </w:pPr>
        </w:p>
      </w:tc>
      <w:tc>
        <w:tcPr>
          <w:tcW w:w="3402" w:type="dxa"/>
          <w:vMerge/>
          <w:vAlign w:val="center"/>
          <w:hideMark/>
        </w:tcPr>
        <w:p w14:paraId="6128BA8E" w14:textId="77777777" w:rsidR="000A250C" w:rsidRDefault="000A250C" w:rsidP="00D53E9C">
          <w:pPr>
            <w:rPr>
              <w:rFonts w:ascii="Century Gothic" w:eastAsia="Century Gothic" w:hAnsi="Century Gothic" w:cs="Century Gothic"/>
              <w:b/>
              <w:color w:val="000000"/>
              <w:sz w:val="20"/>
              <w:szCs w:val="20"/>
              <w:lang w:val="es-ES"/>
            </w:rPr>
          </w:pPr>
        </w:p>
      </w:tc>
      <w:tc>
        <w:tcPr>
          <w:tcW w:w="2977" w:type="dxa"/>
          <w:tcBorders>
            <w:top w:val="single" w:sz="6" w:space="0" w:color="000000"/>
            <w:left w:val="nil"/>
            <w:bottom w:val="nil"/>
            <w:right w:val="nil"/>
          </w:tcBorders>
        </w:tcPr>
        <w:p w14:paraId="7289C7F4" w14:textId="77777777" w:rsidR="000A250C" w:rsidRPr="00D53E9C" w:rsidRDefault="000A250C" w:rsidP="00D53E9C">
          <w:pPr>
            <w:tabs>
              <w:tab w:val="center" w:pos="4153"/>
              <w:tab w:val="center" w:pos="4252"/>
              <w:tab w:val="right" w:pos="8306"/>
              <w:tab w:val="right" w:pos="8504"/>
            </w:tabs>
            <w:spacing w:line="288" w:lineRule="auto"/>
            <w:rPr>
              <w:rFonts w:ascii="Century Gothic" w:eastAsia="Century Gothic" w:hAnsi="Century Gothic" w:cs="Century Gothic"/>
              <w:color w:val="000000"/>
              <w:sz w:val="14"/>
              <w:szCs w:val="14"/>
              <w:lang w:val="es-ES"/>
            </w:rPr>
          </w:pPr>
        </w:p>
        <w:p w14:paraId="2AC8CAD6" w14:textId="77777777" w:rsidR="000A250C" w:rsidRPr="00D53E9C" w:rsidRDefault="000A250C" w:rsidP="00D53E9C">
          <w:pPr>
            <w:spacing w:line="240" w:lineRule="auto"/>
            <w:ind w:right="-79"/>
            <w:rPr>
              <w:rFonts w:ascii="Century Gothic" w:eastAsia="Century Gothic" w:hAnsi="Century Gothic" w:cs="Century Gothic"/>
              <w:color w:val="000000"/>
              <w:sz w:val="14"/>
              <w:szCs w:val="14"/>
              <w:lang w:val="es-ES"/>
            </w:rPr>
          </w:pPr>
          <w:r w:rsidRPr="00D53E9C">
            <w:rPr>
              <w:rFonts w:ascii="Century Gothic" w:eastAsia="Century Gothic" w:hAnsi="Century Gothic" w:cs="Century Gothic"/>
              <w:sz w:val="14"/>
              <w:szCs w:val="14"/>
              <w:lang w:val="es-ES"/>
            </w:rPr>
            <w:t>SUB</w:t>
          </w:r>
          <w:r w:rsidRPr="00D53E9C">
            <w:rPr>
              <w:rFonts w:ascii="Century Gothic" w:eastAsia="Century Gothic" w:hAnsi="Century Gothic" w:cs="Century Gothic"/>
              <w:color w:val="000000"/>
              <w:sz w:val="14"/>
              <w:szCs w:val="14"/>
              <w:lang w:val="es-ES"/>
            </w:rPr>
            <w:t xml:space="preserve">DIRECCIÓN GENERAL DE </w:t>
          </w:r>
          <w:r w:rsidRPr="00D53E9C">
            <w:rPr>
              <w:rFonts w:ascii="Gill Sans MT" w:eastAsia="Gill Sans MT" w:hAnsi="Gill Sans MT" w:cs="Gill Sans MT"/>
              <w:sz w:val="14"/>
              <w:szCs w:val="14"/>
              <w:lang w:val="es-ES"/>
            </w:rPr>
            <w:t>GESTIÓN ECONÓMICA Y FONDOS EUROPEOS</w:t>
          </w:r>
        </w:p>
      </w:tc>
    </w:tr>
  </w:tbl>
  <w:p w14:paraId="43CE5600" w14:textId="77777777" w:rsidR="000A250C" w:rsidRPr="00D53E9C" w:rsidRDefault="000A250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98F"/>
    <w:multiLevelType w:val="hybridMultilevel"/>
    <w:tmpl w:val="59CA1268"/>
    <w:lvl w:ilvl="0" w:tplc="78CC950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177F96"/>
    <w:multiLevelType w:val="hybridMultilevel"/>
    <w:tmpl w:val="F3661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334A72"/>
    <w:multiLevelType w:val="hybridMultilevel"/>
    <w:tmpl w:val="6602B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C0741F"/>
    <w:multiLevelType w:val="multilevel"/>
    <w:tmpl w:val="C6C05F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756B82"/>
    <w:multiLevelType w:val="hybridMultilevel"/>
    <w:tmpl w:val="7256C37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E606F5"/>
    <w:multiLevelType w:val="hybridMultilevel"/>
    <w:tmpl w:val="33B04E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FE2FCC"/>
    <w:multiLevelType w:val="hybridMultilevel"/>
    <w:tmpl w:val="B0DA5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2D2921"/>
    <w:multiLevelType w:val="hybridMultilevel"/>
    <w:tmpl w:val="1CD6A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C837CE"/>
    <w:multiLevelType w:val="hybridMultilevel"/>
    <w:tmpl w:val="7CA2E4C2"/>
    <w:lvl w:ilvl="0" w:tplc="957080F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A16D3D"/>
    <w:multiLevelType w:val="hybridMultilevel"/>
    <w:tmpl w:val="56C2A8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D37C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214A93"/>
    <w:multiLevelType w:val="hybridMultilevel"/>
    <w:tmpl w:val="6F0CAB42"/>
    <w:lvl w:ilvl="0" w:tplc="64F47AB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9A578B"/>
    <w:multiLevelType w:val="hybridMultilevel"/>
    <w:tmpl w:val="6A0A6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B06D7A"/>
    <w:multiLevelType w:val="hybridMultilevel"/>
    <w:tmpl w:val="4E2AF8E8"/>
    <w:lvl w:ilvl="0" w:tplc="04070001">
      <w:start w:val="1"/>
      <w:numFmt w:val="bullet"/>
      <w:lvlText w:val=""/>
      <w:lvlJc w:val="left"/>
      <w:pPr>
        <w:ind w:left="783" w:hanging="360"/>
      </w:pPr>
      <w:rPr>
        <w:rFonts w:ascii="Symbol" w:hAnsi="Symbol" w:hint="default"/>
      </w:rPr>
    </w:lvl>
    <w:lvl w:ilvl="1" w:tplc="04070003">
      <w:start w:val="1"/>
      <w:numFmt w:val="bullet"/>
      <w:lvlText w:val="o"/>
      <w:lvlJc w:val="left"/>
      <w:pPr>
        <w:ind w:left="1503" w:hanging="360"/>
      </w:pPr>
      <w:rPr>
        <w:rFonts w:ascii="Courier New" w:hAnsi="Courier New" w:cs="Courier New" w:hint="default"/>
      </w:rPr>
    </w:lvl>
    <w:lvl w:ilvl="2" w:tplc="04070005">
      <w:start w:val="1"/>
      <w:numFmt w:val="bullet"/>
      <w:lvlText w:val=""/>
      <w:lvlJc w:val="left"/>
      <w:pPr>
        <w:ind w:left="2223" w:hanging="360"/>
      </w:pPr>
      <w:rPr>
        <w:rFonts w:ascii="Wingdings" w:hAnsi="Wingdings" w:hint="default"/>
      </w:rPr>
    </w:lvl>
    <w:lvl w:ilvl="3" w:tplc="04070001">
      <w:start w:val="1"/>
      <w:numFmt w:val="bullet"/>
      <w:lvlText w:val=""/>
      <w:lvlJc w:val="left"/>
      <w:pPr>
        <w:ind w:left="2943" w:hanging="360"/>
      </w:pPr>
      <w:rPr>
        <w:rFonts w:ascii="Symbol" w:hAnsi="Symbol" w:hint="default"/>
      </w:rPr>
    </w:lvl>
    <w:lvl w:ilvl="4" w:tplc="04070003">
      <w:start w:val="1"/>
      <w:numFmt w:val="bullet"/>
      <w:lvlText w:val="o"/>
      <w:lvlJc w:val="left"/>
      <w:pPr>
        <w:ind w:left="3663" w:hanging="360"/>
      </w:pPr>
      <w:rPr>
        <w:rFonts w:ascii="Courier New" w:hAnsi="Courier New" w:cs="Courier New" w:hint="default"/>
      </w:rPr>
    </w:lvl>
    <w:lvl w:ilvl="5" w:tplc="04070005">
      <w:start w:val="1"/>
      <w:numFmt w:val="bullet"/>
      <w:lvlText w:val=""/>
      <w:lvlJc w:val="left"/>
      <w:pPr>
        <w:ind w:left="4383" w:hanging="360"/>
      </w:pPr>
      <w:rPr>
        <w:rFonts w:ascii="Wingdings" w:hAnsi="Wingdings" w:hint="default"/>
      </w:rPr>
    </w:lvl>
    <w:lvl w:ilvl="6" w:tplc="04070001">
      <w:start w:val="1"/>
      <w:numFmt w:val="bullet"/>
      <w:lvlText w:val=""/>
      <w:lvlJc w:val="left"/>
      <w:pPr>
        <w:ind w:left="5103" w:hanging="360"/>
      </w:pPr>
      <w:rPr>
        <w:rFonts w:ascii="Symbol" w:hAnsi="Symbol" w:hint="default"/>
      </w:rPr>
    </w:lvl>
    <w:lvl w:ilvl="7" w:tplc="04070003">
      <w:start w:val="1"/>
      <w:numFmt w:val="bullet"/>
      <w:lvlText w:val="o"/>
      <w:lvlJc w:val="left"/>
      <w:pPr>
        <w:ind w:left="5823" w:hanging="360"/>
      </w:pPr>
      <w:rPr>
        <w:rFonts w:ascii="Courier New" w:hAnsi="Courier New" w:cs="Courier New" w:hint="default"/>
      </w:rPr>
    </w:lvl>
    <w:lvl w:ilvl="8" w:tplc="04070005">
      <w:start w:val="1"/>
      <w:numFmt w:val="bullet"/>
      <w:lvlText w:val=""/>
      <w:lvlJc w:val="left"/>
      <w:pPr>
        <w:ind w:left="6543" w:hanging="360"/>
      </w:pPr>
      <w:rPr>
        <w:rFonts w:ascii="Wingdings" w:hAnsi="Wingdings" w:hint="default"/>
      </w:rPr>
    </w:lvl>
  </w:abstractNum>
  <w:abstractNum w:abstractNumId="14" w15:restartNumberingAfterBreak="0">
    <w:nsid w:val="5F89588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0949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FD2977"/>
    <w:multiLevelType w:val="multilevel"/>
    <w:tmpl w:val="F16A0AA0"/>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DA62A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6"/>
  </w:num>
  <w:num w:numId="4">
    <w:abstractNumId w:val="0"/>
  </w:num>
  <w:num w:numId="5">
    <w:abstractNumId w:val="8"/>
  </w:num>
  <w:num w:numId="6">
    <w:abstractNumId w:val="3"/>
  </w:num>
  <w:num w:numId="7">
    <w:abstractNumId w:val="7"/>
  </w:num>
  <w:num w:numId="8">
    <w:abstractNumId w:val="4"/>
  </w:num>
  <w:num w:numId="9">
    <w:abstractNumId w:val="11"/>
  </w:num>
  <w:num w:numId="10">
    <w:abstractNumId w:val="5"/>
  </w:num>
  <w:num w:numId="11">
    <w:abstractNumId w:val="15"/>
  </w:num>
  <w:num w:numId="12">
    <w:abstractNumId w:val="16"/>
  </w:num>
  <w:num w:numId="13">
    <w:abstractNumId w:val="8"/>
  </w:num>
  <w:num w:numId="14">
    <w:abstractNumId w:val="0"/>
  </w:num>
  <w:num w:numId="15">
    <w:abstractNumId w:val="17"/>
  </w:num>
  <w:num w:numId="16">
    <w:abstractNumId w:val="14"/>
  </w:num>
  <w:num w:numId="17">
    <w:abstractNumId w:val="10"/>
  </w:num>
  <w:num w:numId="18">
    <w:abstractNumId w:val="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1D"/>
    <w:rsid w:val="000016AF"/>
    <w:rsid w:val="00002ED0"/>
    <w:rsid w:val="000140D8"/>
    <w:rsid w:val="0005279B"/>
    <w:rsid w:val="000547F1"/>
    <w:rsid w:val="00092B4F"/>
    <w:rsid w:val="00093487"/>
    <w:rsid w:val="000971BC"/>
    <w:rsid w:val="000A250C"/>
    <w:rsid w:val="000A29E7"/>
    <w:rsid w:val="000A587E"/>
    <w:rsid w:val="000A725C"/>
    <w:rsid w:val="000B403D"/>
    <w:rsid w:val="000C4E89"/>
    <w:rsid w:val="000E2BFF"/>
    <w:rsid w:val="000E3CEE"/>
    <w:rsid w:val="001165AC"/>
    <w:rsid w:val="001210AD"/>
    <w:rsid w:val="001256A5"/>
    <w:rsid w:val="00150303"/>
    <w:rsid w:val="00154CD9"/>
    <w:rsid w:val="00174183"/>
    <w:rsid w:val="0018308A"/>
    <w:rsid w:val="001A3A24"/>
    <w:rsid w:val="001B1FC8"/>
    <w:rsid w:val="001E1652"/>
    <w:rsid w:val="001F460F"/>
    <w:rsid w:val="002010A3"/>
    <w:rsid w:val="00203EEA"/>
    <w:rsid w:val="00263423"/>
    <w:rsid w:val="002769A9"/>
    <w:rsid w:val="002A0D08"/>
    <w:rsid w:val="002B2A5E"/>
    <w:rsid w:val="002E5D0D"/>
    <w:rsid w:val="002F1A93"/>
    <w:rsid w:val="003113D0"/>
    <w:rsid w:val="00323983"/>
    <w:rsid w:val="00325C62"/>
    <w:rsid w:val="00332369"/>
    <w:rsid w:val="0034513A"/>
    <w:rsid w:val="00360F39"/>
    <w:rsid w:val="0037048A"/>
    <w:rsid w:val="003A04DC"/>
    <w:rsid w:val="003A5A87"/>
    <w:rsid w:val="003C27F0"/>
    <w:rsid w:val="00423F3E"/>
    <w:rsid w:val="00426792"/>
    <w:rsid w:val="00440A04"/>
    <w:rsid w:val="00456583"/>
    <w:rsid w:val="0046229B"/>
    <w:rsid w:val="004774ED"/>
    <w:rsid w:val="004B2B20"/>
    <w:rsid w:val="004B6D77"/>
    <w:rsid w:val="004E132E"/>
    <w:rsid w:val="005002D3"/>
    <w:rsid w:val="00504EDE"/>
    <w:rsid w:val="00523F00"/>
    <w:rsid w:val="0054367E"/>
    <w:rsid w:val="00561151"/>
    <w:rsid w:val="005651CC"/>
    <w:rsid w:val="005765A1"/>
    <w:rsid w:val="00576B33"/>
    <w:rsid w:val="00577D2E"/>
    <w:rsid w:val="00582952"/>
    <w:rsid w:val="0059338C"/>
    <w:rsid w:val="005A63C0"/>
    <w:rsid w:val="005C7663"/>
    <w:rsid w:val="005E2D89"/>
    <w:rsid w:val="005E6306"/>
    <w:rsid w:val="006026F3"/>
    <w:rsid w:val="006259F6"/>
    <w:rsid w:val="00663E16"/>
    <w:rsid w:val="006A73B3"/>
    <w:rsid w:val="006B19FA"/>
    <w:rsid w:val="006C390A"/>
    <w:rsid w:val="006D7D8E"/>
    <w:rsid w:val="006E0C31"/>
    <w:rsid w:val="006E1BF6"/>
    <w:rsid w:val="006F0089"/>
    <w:rsid w:val="006F4164"/>
    <w:rsid w:val="006F6B49"/>
    <w:rsid w:val="00727BE5"/>
    <w:rsid w:val="0073548D"/>
    <w:rsid w:val="0073655F"/>
    <w:rsid w:val="007814F9"/>
    <w:rsid w:val="00782173"/>
    <w:rsid w:val="00792A62"/>
    <w:rsid w:val="00796F57"/>
    <w:rsid w:val="007F0574"/>
    <w:rsid w:val="007F57B4"/>
    <w:rsid w:val="007F5F6D"/>
    <w:rsid w:val="00807919"/>
    <w:rsid w:val="00813601"/>
    <w:rsid w:val="008307F8"/>
    <w:rsid w:val="008648D1"/>
    <w:rsid w:val="00894886"/>
    <w:rsid w:val="0089520C"/>
    <w:rsid w:val="008B0FA8"/>
    <w:rsid w:val="008D3966"/>
    <w:rsid w:val="008D54AD"/>
    <w:rsid w:val="008E65A5"/>
    <w:rsid w:val="008F7E8E"/>
    <w:rsid w:val="00905A0A"/>
    <w:rsid w:val="00914A02"/>
    <w:rsid w:val="00927784"/>
    <w:rsid w:val="0096119F"/>
    <w:rsid w:val="00966262"/>
    <w:rsid w:val="009914D8"/>
    <w:rsid w:val="009B0A3C"/>
    <w:rsid w:val="009E247B"/>
    <w:rsid w:val="009F1388"/>
    <w:rsid w:val="00A10D3C"/>
    <w:rsid w:val="00A12F16"/>
    <w:rsid w:val="00A17506"/>
    <w:rsid w:val="00A478B4"/>
    <w:rsid w:val="00A513CC"/>
    <w:rsid w:val="00A560B4"/>
    <w:rsid w:val="00A57D05"/>
    <w:rsid w:val="00A73343"/>
    <w:rsid w:val="00A77DC0"/>
    <w:rsid w:val="00A91EA5"/>
    <w:rsid w:val="00AA3A54"/>
    <w:rsid w:val="00AD7651"/>
    <w:rsid w:val="00AE1BDE"/>
    <w:rsid w:val="00B079BE"/>
    <w:rsid w:val="00B158E5"/>
    <w:rsid w:val="00B24EF2"/>
    <w:rsid w:val="00B3291C"/>
    <w:rsid w:val="00B4061C"/>
    <w:rsid w:val="00B76DF2"/>
    <w:rsid w:val="00B87535"/>
    <w:rsid w:val="00BE0B66"/>
    <w:rsid w:val="00BF0E7F"/>
    <w:rsid w:val="00BF41FC"/>
    <w:rsid w:val="00BF4F24"/>
    <w:rsid w:val="00C07F2B"/>
    <w:rsid w:val="00C46B8D"/>
    <w:rsid w:val="00C523C6"/>
    <w:rsid w:val="00C63603"/>
    <w:rsid w:val="00C71572"/>
    <w:rsid w:val="00C80020"/>
    <w:rsid w:val="00C91DE6"/>
    <w:rsid w:val="00CB4099"/>
    <w:rsid w:val="00CC12EF"/>
    <w:rsid w:val="00CC19AA"/>
    <w:rsid w:val="00CC3328"/>
    <w:rsid w:val="00CD1513"/>
    <w:rsid w:val="00CD19A1"/>
    <w:rsid w:val="00CD19B4"/>
    <w:rsid w:val="00CD4881"/>
    <w:rsid w:val="00CE5637"/>
    <w:rsid w:val="00D030EF"/>
    <w:rsid w:val="00D03AC2"/>
    <w:rsid w:val="00D12103"/>
    <w:rsid w:val="00D2399E"/>
    <w:rsid w:val="00D24106"/>
    <w:rsid w:val="00D42A1A"/>
    <w:rsid w:val="00D4788C"/>
    <w:rsid w:val="00D50E1F"/>
    <w:rsid w:val="00D53E9C"/>
    <w:rsid w:val="00D560D2"/>
    <w:rsid w:val="00D72DD4"/>
    <w:rsid w:val="00D76971"/>
    <w:rsid w:val="00DB4A8F"/>
    <w:rsid w:val="00DC1969"/>
    <w:rsid w:val="00DC33F0"/>
    <w:rsid w:val="00DE2871"/>
    <w:rsid w:val="00DE7041"/>
    <w:rsid w:val="00E40AF7"/>
    <w:rsid w:val="00E6633F"/>
    <w:rsid w:val="00E768DA"/>
    <w:rsid w:val="00E76A45"/>
    <w:rsid w:val="00E81F5E"/>
    <w:rsid w:val="00E9019C"/>
    <w:rsid w:val="00E91C2B"/>
    <w:rsid w:val="00E944E5"/>
    <w:rsid w:val="00E961F1"/>
    <w:rsid w:val="00EA059F"/>
    <w:rsid w:val="00EA3742"/>
    <w:rsid w:val="00EA7D38"/>
    <w:rsid w:val="00EB0F1B"/>
    <w:rsid w:val="00EE29D9"/>
    <w:rsid w:val="00F06300"/>
    <w:rsid w:val="00F10A2A"/>
    <w:rsid w:val="00F5171D"/>
    <w:rsid w:val="00F84FBE"/>
    <w:rsid w:val="00FA0D58"/>
    <w:rsid w:val="00FA7688"/>
    <w:rsid w:val="00FB17E2"/>
    <w:rsid w:val="00FB3443"/>
    <w:rsid w:val="00FC1DAC"/>
    <w:rsid w:val="00FC2438"/>
    <w:rsid w:val="00FD0B2E"/>
    <w:rsid w:val="00FD22D1"/>
    <w:rsid w:val="00FD509F"/>
    <w:rsid w:val="00FD6B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19C1F6"/>
  <w15:docId w15:val="{2C5B0079-111F-495B-8307-3596B87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B49"/>
    <w:pPr>
      <w:spacing w:after="0" w:line="300" w:lineRule="atLeast"/>
    </w:pPr>
    <w:rPr>
      <w:rFonts w:ascii="Arial" w:hAnsi="Arial"/>
      <w:szCs w:val="24"/>
      <w:lang w:val="de-DE"/>
    </w:rPr>
  </w:style>
  <w:style w:type="paragraph" w:styleId="Ttulo1">
    <w:name w:val="heading 1"/>
    <w:basedOn w:val="Normal"/>
    <w:next w:val="Normal"/>
    <w:link w:val="Ttulo1Car"/>
    <w:uiPriority w:val="9"/>
    <w:qFormat/>
    <w:rsid w:val="00CC12EF"/>
    <w:pPr>
      <w:keepNext/>
      <w:spacing w:before="240" w:after="60"/>
      <w:outlineLvl w:val="0"/>
    </w:pPr>
    <w:rPr>
      <w:rFonts w:eastAsiaTheme="majorEastAsia"/>
      <w:b/>
      <w:bCs/>
      <w:kern w:val="32"/>
      <w:sz w:val="32"/>
      <w:szCs w:val="32"/>
      <w:u w:val="single"/>
    </w:rPr>
  </w:style>
  <w:style w:type="paragraph" w:styleId="Ttulo2">
    <w:name w:val="heading 2"/>
    <w:basedOn w:val="Normal"/>
    <w:next w:val="Normal"/>
    <w:link w:val="Ttulo2Car"/>
    <w:uiPriority w:val="9"/>
    <w:unhideWhenUsed/>
    <w:qFormat/>
    <w:rsid w:val="00CC12EF"/>
    <w:pPr>
      <w:keepNext/>
      <w:spacing w:before="240" w:after="60"/>
      <w:outlineLvl w:val="1"/>
    </w:pPr>
    <w:rPr>
      <w:rFonts w:eastAsiaTheme="majorEastAsia"/>
      <w:b/>
      <w:bCs/>
      <w:iCs/>
      <w:sz w:val="28"/>
      <w:szCs w:val="28"/>
      <w:lang w:val="en-US"/>
    </w:rPr>
  </w:style>
  <w:style w:type="paragraph" w:styleId="Ttulo3">
    <w:name w:val="heading 3"/>
    <w:basedOn w:val="Normal"/>
    <w:next w:val="Normal"/>
    <w:link w:val="Ttulo3Car"/>
    <w:uiPriority w:val="9"/>
    <w:unhideWhenUsed/>
    <w:qFormat/>
    <w:rsid w:val="00CC12EF"/>
    <w:pPr>
      <w:keepNext/>
      <w:spacing w:before="240" w:after="60"/>
      <w:outlineLvl w:val="2"/>
    </w:pPr>
    <w:rPr>
      <w:rFonts w:eastAsiaTheme="majorEastAsia"/>
      <w:b/>
      <w:bCs/>
      <w:sz w:val="26"/>
      <w:szCs w:val="26"/>
    </w:rPr>
  </w:style>
  <w:style w:type="paragraph" w:styleId="Ttulo4">
    <w:name w:val="heading 4"/>
    <w:basedOn w:val="Normal"/>
    <w:next w:val="Normal"/>
    <w:link w:val="Ttulo4Car"/>
    <w:uiPriority w:val="9"/>
    <w:unhideWhenUsed/>
    <w:qFormat/>
    <w:rsid w:val="00CC12EF"/>
    <w:pPr>
      <w:keepNext/>
      <w:spacing w:before="240" w:after="60"/>
      <w:outlineLvl w:val="3"/>
    </w:pPr>
    <w:rPr>
      <w:b/>
      <w:bCs/>
      <w:sz w:val="24"/>
      <w:szCs w:val="28"/>
    </w:rPr>
  </w:style>
  <w:style w:type="paragraph" w:styleId="Ttulo5">
    <w:name w:val="heading 5"/>
    <w:basedOn w:val="Normal"/>
    <w:next w:val="Normal"/>
    <w:link w:val="Ttulo5Car"/>
    <w:uiPriority w:val="9"/>
    <w:semiHidden/>
    <w:unhideWhenUsed/>
    <w:qFormat/>
    <w:rsid w:val="001F460F"/>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1F460F"/>
    <w:pPr>
      <w:spacing w:before="240" w:after="60"/>
      <w:outlineLvl w:val="5"/>
    </w:pPr>
    <w:rPr>
      <w:b/>
      <w:bCs/>
      <w:szCs w:val="22"/>
    </w:rPr>
  </w:style>
  <w:style w:type="paragraph" w:styleId="Ttulo7">
    <w:name w:val="heading 7"/>
    <w:basedOn w:val="Normal"/>
    <w:next w:val="Normal"/>
    <w:link w:val="Ttulo7Car"/>
    <w:uiPriority w:val="9"/>
    <w:semiHidden/>
    <w:unhideWhenUsed/>
    <w:qFormat/>
    <w:rsid w:val="001F460F"/>
    <w:pPr>
      <w:spacing w:before="240" w:after="60"/>
      <w:outlineLvl w:val="6"/>
    </w:pPr>
  </w:style>
  <w:style w:type="paragraph" w:styleId="Ttulo8">
    <w:name w:val="heading 8"/>
    <w:basedOn w:val="Normal"/>
    <w:next w:val="Normal"/>
    <w:link w:val="Ttulo8Car"/>
    <w:uiPriority w:val="9"/>
    <w:semiHidden/>
    <w:unhideWhenUsed/>
    <w:qFormat/>
    <w:rsid w:val="001F460F"/>
    <w:pPr>
      <w:spacing w:before="240" w:after="60"/>
      <w:outlineLvl w:val="7"/>
    </w:pPr>
    <w:rPr>
      <w:i/>
      <w:iCs/>
    </w:rPr>
  </w:style>
  <w:style w:type="paragraph" w:styleId="Ttulo9">
    <w:name w:val="heading 9"/>
    <w:basedOn w:val="Normal"/>
    <w:next w:val="Normal"/>
    <w:link w:val="Ttulo9Car"/>
    <w:uiPriority w:val="9"/>
    <w:semiHidden/>
    <w:unhideWhenUsed/>
    <w:qFormat/>
    <w:rsid w:val="001F460F"/>
    <w:pPr>
      <w:spacing w:before="240" w:after="60"/>
      <w:outlineLvl w:val="8"/>
    </w:pPr>
    <w:rPr>
      <w:rFonts w:asciiTheme="majorHAnsi" w:eastAsiaTheme="majorEastAsia" w:hAnsiTheme="majorHAns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2EF"/>
    <w:rPr>
      <w:rFonts w:ascii="Arial" w:eastAsiaTheme="majorEastAsia" w:hAnsi="Arial"/>
      <w:b/>
      <w:bCs/>
      <w:kern w:val="32"/>
      <w:sz w:val="32"/>
      <w:szCs w:val="32"/>
      <w:u w:val="single"/>
      <w:lang w:val="de-DE"/>
    </w:rPr>
  </w:style>
  <w:style w:type="character" w:customStyle="1" w:styleId="Ttulo2Car">
    <w:name w:val="Título 2 Car"/>
    <w:basedOn w:val="Fuentedeprrafopredeter"/>
    <w:link w:val="Ttulo2"/>
    <w:uiPriority w:val="9"/>
    <w:rsid w:val="00CC12EF"/>
    <w:rPr>
      <w:rFonts w:ascii="Arial" w:eastAsiaTheme="majorEastAsia" w:hAnsi="Arial"/>
      <w:b/>
      <w:bCs/>
      <w:iCs/>
      <w:sz w:val="28"/>
      <w:szCs w:val="28"/>
    </w:rPr>
  </w:style>
  <w:style w:type="character" w:customStyle="1" w:styleId="Ttulo3Car">
    <w:name w:val="Título 3 Car"/>
    <w:basedOn w:val="Fuentedeprrafopredeter"/>
    <w:link w:val="Ttulo3"/>
    <w:uiPriority w:val="9"/>
    <w:rsid w:val="00CC12EF"/>
    <w:rPr>
      <w:rFonts w:ascii="Arial" w:eastAsiaTheme="majorEastAsia" w:hAnsi="Arial"/>
      <w:b/>
      <w:bCs/>
      <w:sz w:val="26"/>
      <w:szCs w:val="26"/>
      <w:lang w:val="de-DE"/>
    </w:rPr>
  </w:style>
  <w:style w:type="character" w:customStyle="1" w:styleId="Ttulo4Car">
    <w:name w:val="Título 4 Car"/>
    <w:basedOn w:val="Fuentedeprrafopredeter"/>
    <w:link w:val="Ttulo4"/>
    <w:uiPriority w:val="9"/>
    <w:rsid w:val="00CC12EF"/>
    <w:rPr>
      <w:rFonts w:ascii="Arial" w:hAnsi="Arial"/>
      <w:b/>
      <w:bCs/>
      <w:sz w:val="24"/>
      <w:szCs w:val="28"/>
      <w:lang w:val="de-DE"/>
    </w:rPr>
  </w:style>
  <w:style w:type="character" w:customStyle="1" w:styleId="Ttulo5Car">
    <w:name w:val="Título 5 Car"/>
    <w:basedOn w:val="Fuentedeprrafopredeter"/>
    <w:link w:val="Ttulo5"/>
    <w:uiPriority w:val="9"/>
    <w:semiHidden/>
    <w:rsid w:val="001F460F"/>
    <w:rPr>
      <w:b/>
      <w:bCs/>
      <w:i/>
      <w:iCs/>
      <w:sz w:val="26"/>
      <w:szCs w:val="26"/>
    </w:rPr>
  </w:style>
  <w:style w:type="character" w:customStyle="1" w:styleId="Ttulo6Car">
    <w:name w:val="Título 6 Car"/>
    <w:basedOn w:val="Fuentedeprrafopredeter"/>
    <w:link w:val="Ttulo6"/>
    <w:uiPriority w:val="9"/>
    <w:semiHidden/>
    <w:rsid w:val="001F460F"/>
    <w:rPr>
      <w:b/>
      <w:bCs/>
    </w:rPr>
  </w:style>
  <w:style w:type="character" w:customStyle="1" w:styleId="Ttulo7Car">
    <w:name w:val="Título 7 Car"/>
    <w:basedOn w:val="Fuentedeprrafopredeter"/>
    <w:link w:val="Ttulo7"/>
    <w:uiPriority w:val="9"/>
    <w:semiHidden/>
    <w:rsid w:val="001F460F"/>
    <w:rPr>
      <w:sz w:val="24"/>
      <w:szCs w:val="24"/>
    </w:rPr>
  </w:style>
  <w:style w:type="character" w:customStyle="1" w:styleId="Ttulo8Car">
    <w:name w:val="Título 8 Car"/>
    <w:basedOn w:val="Fuentedeprrafopredeter"/>
    <w:link w:val="Ttulo8"/>
    <w:uiPriority w:val="9"/>
    <w:semiHidden/>
    <w:rsid w:val="001F460F"/>
    <w:rPr>
      <w:i/>
      <w:iCs/>
      <w:sz w:val="24"/>
      <w:szCs w:val="24"/>
    </w:rPr>
  </w:style>
  <w:style w:type="character" w:customStyle="1" w:styleId="Ttulo9Car">
    <w:name w:val="Título 9 Car"/>
    <w:basedOn w:val="Fuentedeprrafopredeter"/>
    <w:link w:val="Ttulo9"/>
    <w:uiPriority w:val="9"/>
    <w:semiHidden/>
    <w:rsid w:val="001F460F"/>
    <w:rPr>
      <w:rFonts w:asciiTheme="majorHAnsi" w:eastAsiaTheme="majorEastAsia" w:hAnsiTheme="majorHAnsi"/>
    </w:rPr>
  </w:style>
  <w:style w:type="paragraph" w:styleId="Ttulo">
    <w:name w:val="Title"/>
    <w:basedOn w:val="Normal"/>
    <w:next w:val="Normal"/>
    <w:link w:val="TtuloCar"/>
    <w:uiPriority w:val="10"/>
    <w:qFormat/>
    <w:rsid w:val="00093487"/>
    <w:pPr>
      <w:spacing w:before="240" w:after="60"/>
      <w:outlineLvl w:val="0"/>
    </w:pPr>
    <w:rPr>
      <w:rFonts w:eastAsiaTheme="majorEastAsia"/>
      <w:b/>
      <w:bCs/>
      <w:kern w:val="28"/>
      <w:sz w:val="24"/>
      <w:szCs w:val="32"/>
    </w:rPr>
  </w:style>
  <w:style w:type="character" w:customStyle="1" w:styleId="TtuloCar">
    <w:name w:val="Título Car"/>
    <w:basedOn w:val="Fuentedeprrafopredeter"/>
    <w:link w:val="Ttulo"/>
    <w:uiPriority w:val="10"/>
    <w:rsid w:val="00093487"/>
    <w:rPr>
      <w:rFonts w:ascii="Arial" w:eastAsiaTheme="majorEastAsia" w:hAnsi="Arial"/>
      <w:b/>
      <w:bCs/>
      <w:kern w:val="28"/>
      <w:sz w:val="24"/>
      <w:szCs w:val="32"/>
    </w:rPr>
  </w:style>
  <w:style w:type="paragraph" w:styleId="Subttulo">
    <w:name w:val="Subtitle"/>
    <w:basedOn w:val="Normal"/>
    <w:next w:val="Normal"/>
    <w:link w:val="SubttuloCar"/>
    <w:uiPriority w:val="11"/>
    <w:qFormat/>
    <w:rsid w:val="001F460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1F460F"/>
    <w:rPr>
      <w:rFonts w:asciiTheme="majorHAnsi" w:eastAsiaTheme="majorEastAsia" w:hAnsiTheme="majorHAnsi"/>
      <w:sz w:val="24"/>
      <w:szCs w:val="24"/>
    </w:rPr>
  </w:style>
  <w:style w:type="character" w:styleId="Textoennegrita">
    <w:name w:val="Strong"/>
    <w:basedOn w:val="Fuentedeprrafopredeter"/>
    <w:uiPriority w:val="22"/>
    <w:qFormat/>
    <w:rsid w:val="001F460F"/>
    <w:rPr>
      <w:b/>
      <w:bCs/>
    </w:rPr>
  </w:style>
  <w:style w:type="character" w:styleId="nfasis">
    <w:name w:val="Emphasis"/>
    <w:basedOn w:val="Fuentedeprrafopredeter"/>
    <w:uiPriority w:val="20"/>
    <w:qFormat/>
    <w:rsid w:val="001F460F"/>
    <w:rPr>
      <w:rFonts w:asciiTheme="minorHAnsi" w:hAnsiTheme="minorHAnsi"/>
      <w:b/>
      <w:i/>
      <w:iCs/>
    </w:rPr>
  </w:style>
  <w:style w:type="paragraph" w:styleId="Sinespaciado">
    <w:name w:val="No Spacing"/>
    <w:basedOn w:val="Normal"/>
    <w:uiPriority w:val="1"/>
    <w:qFormat/>
    <w:rsid w:val="001F460F"/>
    <w:rPr>
      <w:szCs w:val="32"/>
    </w:rPr>
  </w:style>
  <w:style w:type="paragraph" w:styleId="Prrafodelista">
    <w:name w:val="List Paragraph"/>
    <w:basedOn w:val="Normal"/>
    <w:uiPriority w:val="34"/>
    <w:qFormat/>
    <w:rsid w:val="001F460F"/>
    <w:pPr>
      <w:ind w:left="720"/>
      <w:contextualSpacing/>
    </w:pPr>
  </w:style>
  <w:style w:type="paragraph" w:styleId="Cita">
    <w:name w:val="Quote"/>
    <w:basedOn w:val="Normal"/>
    <w:next w:val="Normal"/>
    <w:link w:val="CitaCar"/>
    <w:uiPriority w:val="29"/>
    <w:qFormat/>
    <w:rsid w:val="001F460F"/>
    <w:rPr>
      <w:i/>
    </w:rPr>
  </w:style>
  <w:style w:type="character" w:customStyle="1" w:styleId="CitaCar">
    <w:name w:val="Cita Car"/>
    <w:basedOn w:val="Fuentedeprrafopredeter"/>
    <w:link w:val="Cita"/>
    <w:uiPriority w:val="29"/>
    <w:rsid w:val="001F460F"/>
    <w:rPr>
      <w:i/>
      <w:sz w:val="24"/>
      <w:szCs w:val="24"/>
    </w:rPr>
  </w:style>
  <w:style w:type="paragraph" w:styleId="Citadestacada">
    <w:name w:val="Intense Quote"/>
    <w:basedOn w:val="Normal"/>
    <w:next w:val="Normal"/>
    <w:link w:val="CitadestacadaCar"/>
    <w:uiPriority w:val="30"/>
    <w:qFormat/>
    <w:rsid w:val="001F460F"/>
    <w:pPr>
      <w:ind w:left="720" w:right="720"/>
    </w:pPr>
    <w:rPr>
      <w:b/>
      <w:i/>
      <w:szCs w:val="22"/>
    </w:rPr>
  </w:style>
  <w:style w:type="character" w:customStyle="1" w:styleId="CitadestacadaCar">
    <w:name w:val="Cita destacada Car"/>
    <w:basedOn w:val="Fuentedeprrafopredeter"/>
    <w:link w:val="Citadestacada"/>
    <w:uiPriority w:val="30"/>
    <w:rsid w:val="001F460F"/>
    <w:rPr>
      <w:b/>
      <w:i/>
      <w:sz w:val="24"/>
    </w:rPr>
  </w:style>
  <w:style w:type="character" w:styleId="nfasissutil">
    <w:name w:val="Subtle Emphasis"/>
    <w:uiPriority w:val="19"/>
    <w:qFormat/>
    <w:rsid w:val="001F460F"/>
    <w:rPr>
      <w:i/>
      <w:color w:val="5A5A5A" w:themeColor="text1" w:themeTint="A5"/>
    </w:rPr>
  </w:style>
  <w:style w:type="character" w:styleId="nfasisintenso">
    <w:name w:val="Intense Emphasis"/>
    <w:basedOn w:val="Fuentedeprrafopredeter"/>
    <w:uiPriority w:val="21"/>
    <w:qFormat/>
    <w:rsid w:val="001F460F"/>
    <w:rPr>
      <w:b/>
      <w:i/>
      <w:sz w:val="24"/>
      <w:szCs w:val="24"/>
      <w:u w:val="single"/>
    </w:rPr>
  </w:style>
  <w:style w:type="character" w:styleId="Referenciasutil">
    <w:name w:val="Subtle Reference"/>
    <w:basedOn w:val="Fuentedeprrafopredeter"/>
    <w:uiPriority w:val="31"/>
    <w:qFormat/>
    <w:rsid w:val="001F460F"/>
    <w:rPr>
      <w:sz w:val="24"/>
      <w:szCs w:val="24"/>
      <w:u w:val="single"/>
    </w:rPr>
  </w:style>
  <w:style w:type="character" w:styleId="Referenciaintensa">
    <w:name w:val="Intense Reference"/>
    <w:basedOn w:val="Fuentedeprrafopredeter"/>
    <w:uiPriority w:val="32"/>
    <w:qFormat/>
    <w:rsid w:val="001F460F"/>
    <w:rPr>
      <w:b/>
      <w:sz w:val="24"/>
      <w:u w:val="single"/>
    </w:rPr>
  </w:style>
  <w:style w:type="character" w:styleId="Ttulodellibro">
    <w:name w:val="Book Title"/>
    <w:basedOn w:val="Fuentedeprrafopredeter"/>
    <w:uiPriority w:val="33"/>
    <w:qFormat/>
    <w:rsid w:val="001F460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1F460F"/>
    <w:pPr>
      <w:outlineLvl w:val="9"/>
    </w:pPr>
  </w:style>
  <w:style w:type="table" w:styleId="Tablaconcuadrcula">
    <w:name w:val="Table Grid"/>
    <w:basedOn w:val="Tablanormal"/>
    <w:uiPriority w:val="59"/>
    <w:rsid w:val="00576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27B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BE5"/>
    <w:rPr>
      <w:rFonts w:ascii="Segoe UI" w:hAnsi="Segoe UI" w:cs="Segoe UI"/>
      <w:sz w:val="18"/>
      <w:szCs w:val="18"/>
      <w:lang w:val="de-DE"/>
    </w:rPr>
  </w:style>
  <w:style w:type="character" w:styleId="Refdecomentario">
    <w:name w:val="annotation reference"/>
    <w:uiPriority w:val="99"/>
    <w:semiHidden/>
    <w:unhideWhenUsed/>
    <w:rsid w:val="006F4164"/>
    <w:rPr>
      <w:sz w:val="16"/>
      <w:szCs w:val="16"/>
    </w:rPr>
  </w:style>
  <w:style w:type="paragraph" w:styleId="Textocomentario">
    <w:name w:val="annotation text"/>
    <w:basedOn w:val="Normal"/>
    <w:link w:val="TextocomentarioCar"/>
    <w:uiPriority w:val="99"/>
    <w:unhideWhenUsed/>
    <w:rsid w:val="006F4164"/>
    <w:pPr>
      <w:spacing w:after="160" w:line="259" w:lineRule="auto"/>
    </w:pPr>
    <w:rPr>
      <w:rFonts w:ascii="Calibri" w:eastAsia="Calibri" w:hAnsi="Calibri" w:cs="Calibri"/>
      <w:sz w:val="20"/>
      <w:szCs w:val="20"/>
      <w:lang w:val="es-ES" w:bidi="ar-SA"/>
    </w:rPr>
  </w:style>
  <w:style w:type="character" w:customStyle="1" w:styleId="TextocomentarioCar">
    <w:name w:val="Texto comentario Car"/>
    <w:basedOn w:val="Fuentedeprrafopredeter"/>
    <w:link w:val="Textocomentario"/>
    <w:uiPriority w:val="99"/>
    <w:rsid w:val="006F4164"/>
    <w:rPr>
      <w:rFonts w:ascii="Calibri" w:eastAsia="Calibri" w:hAnsi="Calibri" w:cs="Calibri"/>
      <w:sz w:val="20"/>
      <w:szCs w:val="20"/>
      <w:lang w:val="es-ES" w:bidi="ar-SA"/>
    </w:rPr>
  </w:style>
  <w:style w:type="paragraph" w:styleId="Encabezado">
    <w:name w:val="header"/>
    <w:basedOn w:val="Normal"/>
    <w:link w:val="EncabezadoCar"/>
    <w:uiPriority w:val="99"/>
    <w:unhideWhenUsed/>
    <w:rsid w:val="00CC19AA"/>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CC19AA"/>
    <w:rPr>
      <w:rFonts w:ascii="Arial" w:hAnsi="Arial"/>
      <w:szCs w:val="24"/>
      <w:lang w:val="de-DE"/>
    </w:rPr>
  </w:style>
  <w:style w:type="paragraph" w:styleId="Piedepgina">
    <w:name w:val="footer"/>
    <w:basedOn w:val="Normal"/>
    <w:link w:val="PiedepginaCar"/>
    <w:uiPriority w:val="99"/>
    <w:unhideWhenUsed/>
    <w:rsid w:val="00CC19AA"/>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CC19AA"/>
    <w:rPr>
      <w:rFonts w:ascii="Arial" w:hAnsi="Arial"/>
      <w:szCs w:val="24"/>
      <w:lang w:val="de-DE"/>
    </w:rPr>
  </w:style>
  <w:style w:type="paragraph" w:styleId="Asuntodelcomentario">
    <w:name w:val="annotation subject"/>
    <w:basedOn w:val="Textocomentario"/>
    <w:next w:val="Textocomentario"/>
    <w:link w:val="AsuntodelcomentarioCar"/>
    <w:uiPriority w:val="99"/>
    <w:semiHidden/>
    <w:unhideWhenUsed/>
    <w:rsid w:val="00150303"/>
    <w:pPr>
      <w:spacing w:after="0" w:line="240" w:lineRule="auto"/>
    </w:pPr>
    <w:rPr>
      <w:rFonts w:ascii="Arial" w:eastAsiaTheme="minorHAnsi" w:hAnsi="Arial" w:cs="Times New Roman"/>
      <w:b/>
      <w:bCs/>
      <w:lang w:val="de-DE" w:bidi="en-US"/>
    </w:rPr>
  </w:style>
  <w:style w:type="character" w:customStyle="1" w:styleId="AsuntodelcomentarioCar">
    <w:name w:val="Asunto del comentario Car"/>
    <w:basedOn w:val="TextocomentarioCar"/>
    <w:link w:val="Asuntodelcomentario"/>
    <w:uiPriority w:val="99"/>
    <w:semiHidden/>
    <w:rsid w:val="00150303"/>
    <w:rPr>
      <w:rFonts w:ascii="Arial" w:eastAsia="Calibri" w:hAnsi="Arial" w:cs="Calibri"/>
      <w:b/>
      <w:bCs/>
      <w:sz w:val="20"/>
      <w:szCs w:val="20"/>
      <w:lang w:val="de-DE" w:bidi="ar-SA"/>
    </w:rPr>
  </w:style>
  <w:style w:type="table" w:customStyle="1" w:styleId="Tablaconcuadrcula1">
    <w:name w:val="Tabla con cuadrícula1"/>
    <w:basedOn w:val="Tablanormal"/>
    <w:next w:val="Tablaconcuadrcula"/>
    <w:uiPriority w:val="59"/>
    <w:rsid w:val="00150303"/>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D53E9C"/>
    <w:pPr>
      <w:spacing w:after="100"/>
      <w:ind w:left="220"/>
    </w:pPr>
  </w:style>
  <w:style w:type="character" w:styleId="Hipervnculo">
    <w:name w:val="Hyperlink"/>
    <w:basedOn w:val="Fuentedeprrafopredeter"/>
    <w:uiPriority w:val="99"/>
    <w:unhideWhenUsed/>
    <w:rsid w:val="00D53E9C"/>
    <w:rPr>
      <w:color w:val="0000FF" w:themeColor="hyperlink"/>
      <w:u w:val="single"/>
    </w:rPr>
  </w:style>
  <w:style w:type="paragraph" w:styleId="TDC1">
    <w:name w:val="toc 1"/>
    <w:basedOn w:val="Normal"/>
    <w:next w:val="Normal"/>
    <w:autoRedefine/>
    <w:uiPriority w:val="39"/>
    <w:unhideWhenUsed/>
    <w:rsid w:val="00D53E9C"/>
    <w:pPr>
      <w:spacing w:after="100"/>
    </w:pPr>
  </w:style>
  <w:style w:type="paragraph" w:styleId="Revisin">
    <w:name w:val="Revision"/>
    <w:hidden/>
    <w:uiPriority w:val="99"/>
    <w:semiHidden/>
    <w:rsid w:val="0046229B"/>
    <w:pPr>
      <w:spacing w:after="0" w:line="240" w:lineRule="auto"/>
    </w:pPr>
    <w:rPr>
      <w:rFonts w:ascii="Arial" w:hAnsi="Arial"/>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0260">
      <w:bodyDiv w:val="1"/>
      <w:marLeft w:val="0"/>
      <w:marRight w:val="0"/>
      <w:marTop w:val="0"/>
      <w:marBottom w:val="0"/>
      <w:divBdr>
        <w:top w:val="none" w:sz="0" w:space="0" w:color="auto"/>
        <w:left w:val="none" w:sz="0" w:space="0" w:color="auto"/>
        <w:bottom w:val="none" w:sz="0" w:space="0" w:color="auto"/>
        <w:right w:val="none" w:sz="0" w:space="0" w:color="auto"/>
      </w:divBdr>
    </w:div>
    <w:div w:id="808669052">
      <w:bodyDiv w:val="1"/>
      <w:marLeft w:val="0"/>
      <w:marRight w:val="0"/>
      <w:marTop w:val="0"/>
      <w:marBottom w:val="0"/>
      <w:divBdr>
        <w:top w:val="none" w:sz="0" w:space="0" w:color="auto"/>
        <w:left w:val="none" w:sz="0" w:space="0" w:color="auto"/>
        <w:bottom w:val="none" w:sz="0" w:space="0" w:color="auto"/>
        <w:right w:val="none" w:sz="0" w:space="0" w:color="auto"/>
      </w:divBdr>
    </w:div>
    <w:div w:id="865410573">
      <w:bodyDiv w:val="1"/>
      <w:marLeft w:val="0"/>
      <w:marRight w:val="0"/>
      <w:marTop w:val="0"/>
      <w:marBottom w:val="0"/>
      <w:divBdr>
        <w:top w:val="none" w:sz="0" w:space="0" w:color="auto"/>
        <w:left w:val="none" w:sz="0" w:space="0" w:color="auto"/>
        <w:bottom w:val="none" w:sz="0" w:space="0" w:color="auto"/>
        <w:right w:val="none" w:sz="0" w:space="0" w:color="auto"/>
      </w:divBdr>
    </w:div>
    <w:div w:id="1441418326">
      <w:bodyDiv w:val="1"/>
      <w:marLeft w:val="0"/>
      <w:marRight w:val="0"/>
      <w:marTop w:val="0"/>
      <w:marBottom w:val="0"/>
      <w:divBdr>
        <w:top w:val="none" w:sz="0" w:space="0" w:color="auto"/>
        <w:left w:val="none" w:sz="0" w:space="0" w:color="auto"/>
        <w:bottom w:val="none" w:sz="0" w:space="0" w:color="auto"/>
        <w:right w:val="none" w:sz="0" w:space="0" w:color="auto"/>
      </w:divBdr>
    </w:div>
    <w:div w:id="1535771265">
      <w:bodyDiv w:val="1"/>
      <w:marLeft w:val="0"/>
      <w:marRight w:val="0"/>
      <w:marTop w:val="0"/>
      <w:marBottom w:val="0"/>
      <w:divBdr>
        <w:top w:val="none" w:sz="0" w:space="0" w:color="auto"/>
        <w:left w:val="none" w:sz="0" w:space="0" w:color="auto"/>
        <w:bottom w:val="none" w:sz="0" w:space="0" w:color="auto"/>
        <w:right w:val="none" w:sz="0" w:space="0" w:color="auto"/>
      </w:divBdr>
    </w:div>
    <w:div w:id="179524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16AB-36EA-4F1F-AA8D-17615CB2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5407</Words>
  <Characters>29744</Characters>
  <DocSecurity>0</DocSecurity>
  <Lines>247</Lines>
  <Paragraphs>70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2022-02-24T10:16:00Z</dcterms:created>
  <dcterms:modified xsi:type="dcterms:W3CDTF">2022-03-18T09:13:00Z</dcterms:modified>
</cp:coreProperties>
</file>